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Rule="auto"/>
        <w:ind w:firstLine="709"/>
        <w:jc w:val="both"/>
        <w:rPr>
          <w:b w:val="1"/>
          <w:bCs w:val="1"/>
        </w:rPr>
      </w:pPr>
      <w:r w:rsidDel="00000000" w:rsidR="00000000" w:rsidRPr="00000000">
        <w:rPr>
          <w:b w:val="1"/>
          <w:bCs w:val="1"/>
          <w:rtl w:val="0"/>
        </w:rPr>
        <w:t xml:space="preserve">Tecnologie innovative di alimentazione fogliare per la coltivazione intensiva del grano</w:t>
      </w:r>
    </w:p>
    <w:p w:rsidR="00000000" w:rsidDel="00000000" w:rsidP="00000000" w:rsidRDefault="00000000" w:rsidRPr="00000000" w14:paraId="00000002">
      <w:pPr>
        <w:spacing w:after="0" w:lineRule="auto"/>
        <w:ind w:firstLine="709"/>
        <w:jc w:val="both"/>
        <w:rPr/>
      </w:pPr>
      <w:r w:rsidDel="00000000" w:rsidR="00000000" w:rsidRPr="00000000">
        <w:rPr>
          <w:rtl w:val="0"/>
        </w:rPr>
        <w:t xml:space="preserve">Non solo nutrimento, ma gestione della fisiologia della pianta nei momenti chiave.</w:t>
      </w:r>
    </w:p>
    <w:p w:rsidR="00000000" w:rsidDel="00000000" w:rsidP="00000000" w:rsidRDefault="00000000" w:rsidRPr="00000000" w14:paraId="00000003">
      <w:pPr>
        <w:spacing w:after="0" w:lineRule="auto"/>
        <w:ind w:firstLine="709"/>
        <w:jc w:val="both"/>
        <w:rPr/>
      </w:pPr>
      <w:r w:rsidDel="00000000" w:rsidR="00000000" w:rsidRPr="00000000">
        <w:rPr>
          <w:rtl w:val="0"/>
        </w:rPr>
      </w:r>
    </w:p>
    <w:p w:rsidR="00000000" w:rsidDel="00000000" w:rsidP="00000000" w:rsidRDefault="00000000" w:rsidRPr="00000000" w14:paraId="00000004">
      <w:pPr>
        <w:spacing w:after="0" w:lineRule="auto"/>
        <w:jc w:val="both"/>
        <w:rPr>
          <w:b w:val="1"/>
          <w:bCs w:val="1"/>
        </w:rPr>
      </w:pPr>
      <w:r w:rsidDel="00000000" w:rsidR="00000000" w:rsidRPr="00000000">
        <w:rPr>
          <w:rtl w:val="0"/>
        </w:rPr>
      </w:r>
    </w:p>
    <w:p w:rsidR="00000000" w:rsidDel="00000000" w:rsidP="00000000" w:rsidRDefault="00000000" w:rsidRPr="00000000" w14:paraId="00000005">
      <w:pPr>
        <w:spacing w:after="0" w:lineRule="auto"/>
        <w:jc w:val="both"/>
        <w:rPr>
          <w:b w:val="1"/>
          <w:bCs w:val="1"/>
        </w:rPr>
      </w:pPr>
      <w:r w:rsidDel="00000000" w:rsidR="00000000" w:rsidRPr="00000000">
        <w:rPr>
          <w:b w:val="1"/>
          <w:bCs w:val="1"/>
          <w:rtl w:val="0"/>
        </w:rPr>
        <w:t xml:space="preserve">Breve descrizione dei prodotti</w:t>
      </w:r>
    </w:p>
    <w:p w:rsidR="00000000" w:rsidDel="00000000" w:rsidP="00000000" w:rsidRDefault="00000000" w:rsidRPr="00000000" w14:paraId="00000006">
      <w:pPr>
        <w:numPr>
          <w:ilvl w:val="0"/>
          <w:numId w:val="1"/>
        </w:numPr>
        <w:spacing w:after="0" w:lineRule="auto"/>
        <w:ind w:left="720" w:hanging="360"/>
        <w:jc w:val="both"/>
        <w:rPr/>
      </w:pPr>
      <w:r w:rsidDel="00000000" w:rsidR="00000000" w:rsidRPr="00000000">
        <w:rPr>
          <w:rtl w:val="0"/>
        </w:rPr>
        <w:t xml:space="preserve">"Contour Growth" è un potente stimolatore di crescita e sviluppo a base di un complesso di L-amminoacidi (66 g/l) e acido succinico. Ottimizza la crescita vegetativa e migliora l'allegagione e il riempimento degli acini.</w:t>
      </w:r>
    </w:p>
    <w:p w:rsidR="00000000" w:rsidDel="00000000" w:rsidP="00000000" w:rsidRDefault="00000000" w:rsidRPr="00000000" w14:paraId="00000007">
      <w:pPr>
        <w:numPr>
          <w:ilvl w:val="0"/>
          <w:numId w:val="1"/>
        </w:numPr>
        <w:spacing w:after="0" w:lineRule="auto"/>
        <w:ind w:left="720" w:hanging="360"/>
        <w:jc w:val="both"/>
        <w:rPr/>
      </w:pPr>
      <w:r w:rsidDel="00000000" w:rsidR="00000000" w:rsidRPr="00000000">
        <w:rPr>
          <w:rtl w:val="0"/>
        </w:rPr>
        <w:t xml:space="preserve">"Contour Antistress " è un agente antistress e immunomodulatore specializzato. Contiene un complesso unico di L-amminoacidi (45 g/l), acido arachidonico e acidi triterpenici . Aumenta la resistenza delle piante allo stress climatico (caldo, freddo, siccità) e biologico (malattie).</w:t>
      </w:r>
    </w:p>
    <w:p w:rsidR="00000000" w:rsidDel="00000000" w:rsidP="00000000" w:rsidRDefault="00000000" w:rsidRPr="00000000" w14:paraId="00000008">
      <w:pPr>
        <w:spacing w:after="0" w:lineRule="auto"/>
        <w:jc w:val="both"/>
        <w:rPr/>
      </w:pPr>
      <w:r w:rsidDel="00000000" w:rsidR="00000000" w:rsidRPr="00000000">
        <w:rPr>
          <w:rtl w:val="0"/>
        </w:rPr>
        <w:t xml:space="preserve">Entrambi contengono un complesso bilanciato di microelementi in forma chelata (Fe, Zn, Mg , Cu , Mn , Mo ) e un potente complesso umico- fulvico per migliorare l'assorbimento e il tono generale della pianta.</w:t>
      </w:r>
    </w:p>
    <w:p w:rsidR="00000000" w:rsidDel="00000000" w:rsidP="00000000" w:rsidRDefault="00000000" w:rsidRPr="00000000" w14:paraId="00000009">
      <w:pPr>
        <w:spacing w:after="0" w:lineRule="auto"/>
        <w:ind w:left="0" w:firstLine="0"/>
        <w:jc w:val="both"/>
        <w:rPr/>
      </w:pPr>
      <w:r w:rsidDel="00000000" w:rsidR="00000000" w:rsidRPr="00000000">
        <w:rPr>
          <w:rtl w:val="0"/>
        </w:rPr>
      </w:r>
    </w:p>
    <w:p w:rsidR="00000000" w:rsidDel="00000000" w:rsidP="00000000" w:rsidRDefault="00000000" w:rsidRPr="00000000" w14:paraId="0000000A">
      <w:pPr>
        <w:spacing w:after="0" w:lineRule="auto"/>
        <w:ind w:firstLine="709"/>
        <w:jc w:val="both"/>
        <w:rPr>
          <w:b w:val="1"/>
          <w:bCs w:val="1"/>
        </w:rPr>
      </w:pPr>
      <w:r w:rsidDel="00000000" w:rsidR="00000000" w:rsidRPr="00000000">
        <w:rPr>
          <w:b w:val="1"/>
          <w:bCs w:val="1"/>
          <w:rtl w:val="0"/>
        </w:rPr>
        <w:t xml:space="preserve">Per chi è adatto Contour per il grano?</w:t>
      </w:r>
    </w:p>
    <w:p w:rsidR="00000000" w:rsidDel="00000000" w:rsidP="00000000" w:rsidRDefault="00000000" w:rsidRPr="00000000" w14:paraId="0000000B">
      <w:pPr>
        <w:numPr>
          <w:ilvl w:val="0"/>
          <w:numId w:val="5"/>
        </w:numPr>
        <w:spacing w:after="0" w:lineRule="auto"/>
        <w:ind w:left="720" w:hanging="360"/>
        <w:jc w:val="both"/>
        <w:rPr/>
      </w:pPr>
      <w:r w:rsidDel="00000000" w:rsidR="00000000" w:rsidRPr="00000000">
        <w:rPr>
          <w:rtl w:val="0"/>
        </w:rPr>
        <w:t xml:space="preserve">Per chi vuole aumentare le rese senza aumentare le dosi di azoto.</w:t>
      </w:r>
    </w:p>
    <w:p w:rsidR="00000000" w:rsidDel="00000000" w:rsidP="00000000" w:rsidRDefault="00000000" w:rsidRPr="00000000" w14:paraId="0000000C">
      <w:pPr>
        <w:numPr>
          <w:ilvl w:val="0"/>
          <w:numId w:val="5"/>
        </w:numPr>
        <w:spacing w:after="0" w:lineRule="auto"/>
        <w:ind w:left="720" w:hanging="360"/>
        <w:jc w:val="both"/>
        <w:rPr/>
      </w:pPr>
      <w:r w:rsidDel="00000000" w:rsidR="00000000" w:rsidRPr="00000000">
        <w:rPr>
          <w:rtl w:val="0"/>
        </w:rPr>
        <w:t xml:space="preserve">Per chi lavora in zone agricole a rischio (caldo, siccità, sbalzi di temperatura).</w:t>
      </w:r>
    </w:p>
    <w:p w:rsidR="00000000" w:rsidDel="00000000" w:rsidP="00000000" w:rsidRDefault="00000000" w:rsidRPr="00000000" w14:paraId="0000000D">
      <w:pPr>
        <w:numPr>
          <w:ilvl w:val="0"/>
          <w:numId w:val="5"/>
        </w:numPr>
        <w:spacing w:after="0" w:lineRule="auto"/>
        <w:ind w:left="720" w:hanging="360"/>
        <w:jc w:val="both"/>
        <w:rPr/>
      </w:pPr>
      <w:r w:rsidDel="00000000" w:rsidR="00000000" w:rsidRPr="00000000">
        <w:rPr>
          <w:rtl w:val="0"/>
        </w:rPr>
        <w:t xml:space="preserve">Per chi vuole aumentare la qualità del grano e il suo valore.</w:t>
      </w:r>
    </w:p>
    <w:p w:rsidR="00000000" w:rsidDel="00000000" w:rsidP="00000000" w:rsidRDefault="00000000" w:rsidRPr="00000000" w14:paraId="0000000E">
      <w:pPr>
        <w:numPr>
          <w:ilvl w:val="0"/>
          <w:numId w:val="5"/>
        </w:numPr>
        <w:spacing w:after="0" w:lineRule="auto"/>
        <w:ind w:left="720" w:hanging="360"/>
        <w:jc w:val="both"/>
        <w:rPr/>
      </w:pPr>
      <w:r w:rsidDel="00000000" w:rsidR="00000000" w:rsidRPr="00000000">
        <w:rPr>
          <w:rtl w:val="0"/>
        </w:rPr>
        <w:t xml:space="preserve">Per chi cerca una soluzione sicura e tecnologicamente avanzata per circuiti intensivi.</w:t>
      </w:r>
    </w:p>
    <w:p w:rsidR="00000000" w:rsidDel="00000000" w:rsidP="00000000" w:rsidRDefault="00000000" w:rsidRPr="00000000" w14:paraId="0000000F">
      <w:pPr>
        <w:spacing w:after="0" w:lineRule="auto"/>
        <w:ind w:firstLine="709"/>
        <w:jc w:val="both"/>
        <w:rPr/>
      </w:pPr>
      <w:r w:rsidDel="00000000" w:rsidR="00000000" w:rsidRPr="00000000">
        <w:rPr>
          <w:rtl w:val="0"/>
        </w:rPr>
      </w:r>
    </w:p>
    <w:p w:rsidR="00000000" w:rsidDel="00000000" w:rsidP="00000000" w:rsidRDefault="00000000" w:rsidRPr="00000000" w14:paraId="00000010">
      <w:pPr>
        <w:spacing w:after="0" w:lineRule="auto"/>
        <w:ind w:firstLine="709"/>
        <w:jc w:val="both"/>
        <w:rPr/>
      </w:pPr>
      <w:r w:rsidDel="00000000" w:rsidR="00000000" w:rsidRPr="00000000">
        <w:rPr>
          <w:rtl w:val="0"/>
        </w:rPr>
        <w:t xml:space="preserve">Aumento della redditività della produzione di grano attraverso l'aumento delle rese e il miglioramento delle prestazioni tecnologiche, confermato nelle prove ufficiali sul campo in Italia (2024).</w:t>
      </w:r>
    </w:p>
    <w:p w:rsidR="00000000" w:rsidDel="00000000" w:rsidP="00000000" w:rsidRDefault="00000000" w:rsidRPr="00000000" w14:paraId="00000011">
      <w:pPr>
        <w:spacing w:after="0" w:lineRule="auto"/>
        <w:ind w:firstLine="709"/>
        <w:jc w:val="both"/>
        <w:rPr/>
      </w:pPr>
      <w:r w:rsidDel="00000000" w:rsidR="00000000" w:rsidRPr="00000000">
        <w:rPr>
          <w:rtl w:val="0"/>
        </w:rPr>
      </w:r>
    </w:p>
    <w:p w:rsidR="00000000" w:rsidDel="00000000" w:rsidP="00000000" w:rsidRDefault="00000000" w:rsidRPr="00000000" w14:paraId="00000012">
      <w:pPr>
        <w:spacing w:after="0" w:lineRule="auto"/>
        <w:ind w:firstLine="709"/>
        <w:jc w:val="both"/>
        <w:rPr/>
      </w:pPr>
      <w:r w:rsidDel="00000000" w:rsidR="00000000" w:rsidRPr="00000000">
        <w:rPr>
          <w:rtl w:val="0"/>
        </w:rPr>
        <w:t xml:space="preserve">Risultati delle prove del Consorzi Agrari d’Italia (codice Z78-03-24), 2024 (lo schema di alimentazione standard è stato confrontato con schemi comprendenti CONTOUR GROWTH e CONTOUR ANTISTRESS, su un unico sfondo intensivo di azoto - 181 kg i.a./ha).</w:t>
      </w:r>
    </w:p>
    <w:p w:rsidR="00000000" w:rsidDel="00000000" w:rsidP="00000000" w:rsidRDefault="00000000" w:rsidRPr="00000000" w14:paraId="00000013">
      <w:pPr>
        <w:spacing w:after="0" w:lineRule="auto"/>
        <w:ind w:left="0" w:firstLine="0"/>
        <w:jc w:val="both"/>
        <w:rPr/>
      </w:pPr>
      <w:r w:rsidDel="00000000" w:rsidR="00000000" w:rsidRPr="00000000">
        <w:rPr>
          <w:rtl w:val="0"/>
        </w:rPr>
      </w:r>
    </w:p>
    <w:p w:rsidR="00000000" w:rsidDel="00000000" w:rsidP="00000000" w:rsidRDefault="00000000" w:rsidRPr="00000000" w14:paraId="00000014">
      <w:pPr>
        <w:spacing w:after="0" w:lineRule="auto"/>
        <w:ind w:firstLine="709"/>
        <w:jc w:val="both"/>
        <w:rPr>
          <w:i w:val="1"/>
          <w:iCs w:val="1"/>
        </w:rPr>
      </w:pPr>
      <w:r w:rsidDel="00000000" w:rsidR="00000000" w:rsidRPr="00000000">
        <w:rPr>
          <w:i w:val="1"/>
          <w:iCs w:val="1"/>
          <w:rtl w:val="0"/>
        </w:rPr>
        <w:t xml:space="preserve">Basato sui dati ufficiali delle prove di campo condotte dai Consorzi Agrari d’Italia nel 2024. Il rapporto completo è disponibile su richiesta.</w:t>
      </w:r>
    </w:p>
    <w:p w:rsidR="00000000" w:rsidDel="00000000" w:rsidP="00000000" w:rsidRDefault="00000000" w:rsidRPr="00000000" w14:paraId="00000015">
      <w:pPr>
        <w:spacing w:after="0" w:lineRule="auto"/>
        <w:ind w:left="0" w:firstLine="0"/>
        <w:jc w:val="both"/>
        <w:rPr>
          <w:i w:val="1"/>
          <w:iCs w:val="1"/>
        </w:rPr>
      </w:pPr>
      <w:r w:rsidDel="00000000" w:rsidR="00000000" w:rsidRPr="00000000">
        <w:rPr>
          <w:rtl w:val="0"/>
        </w:rPr>
      </w:r>
    </w:p>
    <w:p w:rsidR="00000000" w:rsidDel="00000000" w:rsidP="00000000" w:rsidRDefault="00000000" w:rsidRPr="00000000" w14:paraId="00000016">
      <w:pPr>
        <w:spacing w:after="0" w:lineRule="auto"/>
        <w:ind w:firstLine="709"/>
        <w:jc w:val="both"/>
        <w:rPr>
          <w:b w:val="1"/>
          <w:bCs w:val="1"/>
        </w:rPr>
      </w:pPr>
      <w:r w:rsidDel="00000000" w:rsidR="00000000" w:rsidRPr="00000000">
        <w:rPr>
          <w:b w:val="1"/>
          <w:bCs w:val="1"/>
          <w:rtl w:val="0"/>
        </w:rPr>
        <w:t xml:space="preserve">Perché scegliere Contour per il grano?</w:t>
      </w:r>
    </w:p>
    <w:p w:rsidR="00000000" w:rsidDel="00000000" w:rsidP="00000000" w:rsidRDefault="00000000" w:rsidRPr="00000000" w14:paraId="00000017">
      <w:pPr>
        <w:spacing w:after="0" w:lineRule="auto"/>
        <w:ind w:firstLine="709"/>
        <w:jc w:val="both"/>
        <w:rPr/>
      </w:pPr>
      <w:r w:rsidDel="00000000" w:rsidR="00000000" w:rsidRPr="00000000">
        <w:rPr>
          <w:rtl w:val="0"/>
        </w:rPr>
        <w:t xml:space="preserve">Efficienza nelle fasi critiche di crescita: </w:t>
        <w:br w:type="textWrapping"/>
        <w:t xml:space="preserve">i trattamenti nelle fasi BBCH 29-31 (la levata) e BBCH 39 (la foglia a bandiera) consentono:</w:t>
      </w:r>
    </w:p>
    <w:p w:rsidR="00000000" w:rsidDel="00000000" w:rsidP="00000000" w:rsidRDefault="00000000" w:rsidRPr="00000000" w14:paraId="00000018">
      <w:pPr>
        <w:numPr>
          <w:ilvl w:val="0"/>
          <w:numId w:val="2"/>
        </w:numPr>
        <w:spacing w:after="0" w:lineRule="auto"/>
        <w:ind w:left="720" w:hanging="360"/>
        <w:jc w:val="both"/>
        <w:rPr/>
      </w:pPr>
      <w:r w:rsidDel="00000000" w:rsidR="00000000" w:rsidRPr="00000000">
        <w:rPr>
          <w:rtl w:val="0"/>
        </w:rPr>
        <w:t xml:space="preserve">Rafforzare l'accestimento e la formazione di steli produttivi.</w:t>
      </w:r>
    </w:p>
    <w:p w:rsidR="00000000" w:rsidDel="00000000" w:rsidP="00000000" w:rsidRDefault="00000000" w:rsidRPr="00000000" w14:paraId="00000019">
      <w:pPr>
        <w:numPr>
          <w:ilvl w:val="0"/>
          <w:numId w:val="2"/>
        </w:numPr>
        <w:spacing w:after="0" w:lineRule="auto"/>
        <w:ind w:left="720" w:hanging="360"/>
        <w:jc w:val="both"/>
        <w:rPr/>
      </w:pPr>
      <w:r w:rsidDel="00000000" w:rsidR="00000000" w:rsidRPr="00000000">
        <w:rPr>
          <w:rtl w:val="0"/>
        </w:rPr>
        <w:t xml:space="preserve">Migliora il metabolismo dell'azoto e il riempimento dei chicchi.</w:t>
      </w:r>
    </w:p>
    <w:p w:rsidR="00000000" w:rsidDel="00000000" w:rsidP="00000000" w:rsidRDefault="00000000" w:rsidRPr="00000000" w14:paraId="0000001A">
      <w:pPr>
        <w:numPr>
          <w:ilvl w:val="0"/>
          <w:numId w:val="2"/>
        </w:numPr>
        <w:spacing w:after="0" w:lineRule="auto"/>
        <w:ind w:left="720" w:hanging="360"/>
        <w:jc w:val="both"/>
        <w:rPr/>
      </w:pPr>
      <w:r w:rsidDel="00000000" w:rsidR="00000000" w:rsidRPr="00000000">
        <w:rPr>
          <w:rtl w:val="0"/>
        </w:rPr>
        <w:t xml:space="preserve">Aumenta la resistenza allo stress (calore, siccità, carichi di pesticidi ).</w:t>
      </w:r>
    </w:p>
    <w:p w:rsidR="00000000" w:rsidDel="00000000" w:rsidP="00000000" w:rsidRDefault="00000000" w:rsidRPr="00000000" w14:paraId="0000001B">
      <w:pPr>
        <w:spacing w:after="0" w:lineRule="auto"/>
        <w:ind w:firstLine="709"/>
        <w:jc w:val="both"/>
        <w:rPr>
          <w:rFonts w:ascii="Calibri" w:cs="Calibri" w:eastAsia="Calibri" w:hAnsi="Calibri"/>
        </w:rPr>
      </w:pPr>
      <w:r w:rsidDel="00000000" w:rsidR="00000000" w:rsidRPr="00000000">
        <w:rPr>
          <w:rtl w:val="0"/>
        </w:rPr>
      </w:r>
    </w:p>
    <w:p w:rsidR="00000000" w:rsidDel="00000000" w:rsidP="00000000" w:rsidRDefault="00000000" w:rsidRPr="00000000" w14:paraId="0000001C">
      <w:pPr>
        <w:spacing w:after="0" w:lineRule="auto"/>
        <w:ind w:firstLine="709"/>
        <w:jc w:val="both"/>
        <w:rPr/>
      </w:pPr>
      <w:r w:rsidDel="00000000" w:rsidR="00000000" w:rsidRPr="00000000">
        <w:rPr>
          <w:rtl w:val="0"/>
        </w:rPr>
        <w:t xml:space="preserve">Sicurezza e compatibilità:</w:t>
      </w:r>
    </w:p>
    <w:p w:rsidR="00000000" w:rsidDel="00000000" w:rsidP="00000000" w:rsidRDefault="00000000" w:rsidRPr="00000000" w14:paraId="0000001D">
      <w:pPr>
        <w:numPr>
          <w:ilvl w:val="0"/>
          <w:numId w:val="3"/>
        </w:numPr>
        <w:spacing w:after="0" w:lineRule="auto"/>
        <w:ind w:left="720" w:hanging="360"/>
        <w:jc w:val="both"/>
        <w:rPr/>
      </w:pPr>
      <w:r w:rsidDel="00000000" w:rsidR="00000000" w:rsidRPr="00000000">
        <w:rPr>
          <w:rtl w:val="0"/>
        </w:rPr>
        <w:t xml:space="preserve">Nessuna fitotossicità: sicuro per il fogliame e gli organi riproduttivi.</w:t>
      </w:r>
    </w:p>
    <w:p w:rsidR="00000000" w:rsidDel="00000000" w:rsidP="00000000" w:rsidRDefault="00000000" w:rsidRPr="00000000" w14:paraId="0000001E">
      <w:pPr>
        <w:numPr>
          <w:ilvl w:val="0"/>
          <w:numId w:val="3"/>
        </w:numPr>
        <w:spacing w:after="0" w:lineRule="auto"/>
        <w:ind w:left="720" w:hanging="360"/>
        <w:jc w:val="both"/>
        <w:rPr/>
      </w:pPr>
      <w:r w:rsidDel="00000000" w:rsidR="00000000" w:rsidRPr="00000000">
        <w:rPr>
          <w:rtl w:val="0"/>
        </w:rPr>
        <w:t xml:space="preserve">Compatibile con pesticidi e fertilizzanti minerali.</w:t>
      </w:r>
    </w:p>
    <w:p w:rsidR="00000000" w:rsidDel="00000000" w:rsidP="00000000" w:rsidRDefault="00000000" w:rsidRPr="00000000" w14:paraId="0000001F">
      <w:pPr>
        <w:numPr>
          <w:ilvl w:val="0"/>
          <w:numId w:val="3"/>
        </w:numPr>
        <w:spacing w:after="0" w:lineRule="auto"/>
        <w:ind w:left="720" w:hanging="360"/>
        <w:jc w:val="both"/>
        <w:rPr/>
      </w:pPr>
      <w:r w:rsidDel="00000000" w:rsidR="00000000" w:rsidRPr="00000000">
        <w:rPr>
          <w:rtl w:val="0"/>
        </w:rPr>
        <w:t xml:space="preserve">Non richiede alcuna modifica tecnologica: si integra facilmente nei sistemi di protezione e di alimentazione esistenti.</w:t>
      </w:r>
    </w:p>
    <w:p w:rsidR="00000000" w:rsidDel="00000000" w:rsidP="00000000" w:rsidRDefault="00000000" w:rsidRPr="00000000" w14:paraId="00000020">
      <w:pPr>
        <w:spacing w:after="0" w:lineRule="auto"/>
        <w:ind w:firstLine="709"/>
        <w:jc w:val="both"/>
        <w:rPr/>
      </w:pPr>
      <w:r w:rsidDel="00000000" w:rsidR="00000000" w:rsidRPr="00000000">
        <w:rPr>
          <w:rtl w:val="0"/>
        </w:rPr>
      </w:r>
    </w:p>
    <w:p w:rsidR="00000000" w:rsidDel="00000000" w:rsidP="00000000" w:rsidRDefault="00000000" w:rsidRPr="00000000" w14:paraId="00000021">
      <w:pPr>
        <w:spacing w:after="0" w:lineRule="auto"/>
        <w:ind w:firstLine="709"/>
        <w:jc w:val="both"/>
        <w:rPr/>
      </w:pPr>
      <w:r w:rsidDel="00000000" w:rsidR="00000000" w:rsidRPr="00000000">
        <w:rPr>
          <w:rtl w:val="0"/>
        </w:rPr>
        <w:t xml:space="preserve">Nelle pratiche agricole reali, dove la fertilizzazione azotata è essenziale, i prodotti Contour non servono come sostituti dei fertilizzanti, ma piuttosto come ottimizzatori del loro assorbimento e aumentano la resilienza delle piante allo stress. Agiscono come efficaci potenziatori dei processi fisiologici, aiutando le colture a sfruttare appieno il potenziale insito nella nutrizione minerale. Ciò è particolarmente importante in condizioni di stress (calore, siccità, carichi di pesticidi ), quando l'efficienza dell'azoto può diminuire. Pertanto, anche in condizioni intense, Contour dimostra il suo valore come strumento per la stabilizzazione della resa e la protezione degli investimenti in fertilizzanti primari.</w:t>
      </w:r>
    </w:p>
    <w:p w:rsidR="00000000" w:rsidDel="00000000" w:rsidP="00000000" w:rsidRDefault="00000000" w:rsidRPr="00000000" w14:paraId="00000022">
      <w:pPr>
        <w:spacing w:after="0" w:lineRule="auto"/>
        <w:ind w:firstLine="709"/>
        <w:jc w:val="both"/>
        <w:rPr/>
      </w:pPr>
      <w:r w:rsidDel="00000000" w:rsidR="00000000" w:rsidRPr="00000000">
        <w:rPr>
          <w:rtl w:val="0"/>
        </w:rPr>
      </w:r>
    </w:p>
    <w:p w:rsidR="00000000" w:rsidDel="00000000" w:rsidP="00000000" w:rsidRDefault="00000000" w:rsidRPr="00000000" w14:paraId="00000023">
      <w:pPr>
        <w:spacing w:after="0" w:lineRule="auto"/>
        <w:ind w:firstLine="709"/>
        <w:jc w:val="both"/>
        <w:rPr>
          <w:b w:val="1"/>
          <w:bCs w:val="1"/>
        </w:rPr>
      </w:pPr>
      <w:r w:rsidDel="00000000" w:rsidR="00000000" w:rsidRPr="00000000">
        <w:rPr>
          <w:b w:val="1"/>
          <w:bCs w:val="1"/>
          <w:rtl w:val="0"/>
        </w:rPr>
        <w:t xml:space="preserve">Strategia applicativa per risultati massimi</w:t>
      </w:r>
    </w:p>
    <w:p w:rsidR="00000000" w:rsidDel="00000000" w:rsidP="00000000" w:rsidRDefault="00000000" w:rsidRPr="00000000" w14:paraId="00000024">
      <w:pPr>
        <w:spacing w:after="0" w:lineRule="auto"/>
        <w:ind w:firstLine="709"/>
        <w:jc w:val="both"/>
        <w:rPr>
          <w:b w:val="1"/>
          <w:bCs w:val="1"/>
        </w:rPr>
      </w:pPr>
      <w:r w:rsidDel="00000000" w:rsidR="00000000" w:rsidRPr="00000000">
        <w:rPr>
          <w:rtl w:val="0"/>
        </w:rPr>
      </w:r>
    </w:p>
    <w:tbl>
      <w:tblPr>
        <w:tblStyle w:val="Table1"/>
        <w:tblW w:w="942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502"/>
        <w:gridCol w:w="4091"/>
        <w:gridCol w:w="2829"/>
        <w:tblGridChange w:id="0">
          <w:tblGrid>
            <w:gridCol w:w="2502"/>
            <w:gridCol w:w="4091"/>
            <w:gridCol w:w="2829"/>
          </w:tblGrid>
        </w:tblGridChange>
      </w:tblGrid>
      <w:tr>
        <w:trPr>
          <w:cantSplit w:val="0"/>
          <w:trHeight w:val="865" w:hRule="atLeast"/>
          <w:tblHeader w:val="1"/>
        </w:trPr>
        <w:tc>
          <w:tcPr>
            <w:tcMar>
              <w:top w:w="150.0" w:type="dxa"/>
              <w:left w:w="0.0" w:type="dxa"/>
              <w:bottom w:w="150.0" w:type="dxa"/>
              <w:right w:w="240.0" w:type="dxa"/>
            </w:tcMar>
            <w:vAlign w:val="center"/>
          </w:tcPr>
          <w:p w:rsidR="00000000" w:rsidDel="00000000" w:rsidP="00000000" w:rsidRDefault="00000000" w:rsidRPr="00000000" w14:paraId="00000025">
            <w:pPr>
              <w:spacing w:after="0" w:lineRule="auto"/>
              <w:jc w:val="both"/>
              <w:rPr/>
            </w:pPr>
            <w:r w:rsidDel="00000000" w:rsidR="00000000" w:rsidRPr="00000000">
              <w:rPr>
                <w:rtl w:val="0"/>
              </w:rPr>
              <w:t xml:space="preserve">Fase di sviluppo del grano (BBCH)</w:t>
            </w:r>
          </w:p>
        </w:tc>
        <w:tc>
          <w:tcPr>
            <w:tcMar>
              <w:top w:w="150.0" w:type="dxa"/>
              <w:left w:w="240.0" w:type="dxa"/>
              <w:bottom w:w="150.0" w:type="dxa"/>
              <w:right w:w="240.0" w:type="dxa"/>
            </w:tcMar>
            <w:vAlign w:val="center"/>
          </w:tcPr>
          <w:p w:rsidR="00000000" w:rsidDel="00000000" w:rsidP="00000000" w:rsidRDefault="00000000" w:rsidRPr="00000000" w14:paraId="00000026">
            <w:pPr>
              <w:spacing w:after="0" w:lineRule="auto"/>
              <w:jc w:val="both"/>
              <w:rPr/>
            </w:pPr>
            <w:r w:rsidDel="00000000" w:rsidR="00000000" w:rsidRPr="00000000">
              <w:rPr>
                <w:rtl w:val="0"/>
              </w:rPr>
              <w:t xml:space="preserve">Contour Growth</w:t>
            </w:r>
          </w:p>
        </w:tc>
        <w:tc>
          <w:tcPr>
            <w:tcMar>
              <w:top w:w="150.0" w:type="dxa"/>
              <w:left w:w="240.0" w:type="dxa"/>
              <w:bottom w:w="150.0" w:type="dxa"/>
              <w:right w:w="240.0" w:type="dxa"/>
            </w:tcMar>
            <w:vAlign w:val="center"/>
          </w:tcPr>
          <w:p w:rsidR="00000000" w:rsidDel="00000000" w:rsidP="00000000" w:rsidRDefault="00000000" w:rsidRPr="00000000" w14:paraId="00000027">
            <w:pPr>
              <w:spacing w:after="0" w:lineRule="auto"/>
              <w:jc w:val="both"/>
              <w:rPr/>
            </w:pPr>
            <w:r w:rsidDel="00000000" w:rsidR="00000000" w:rsidRPr="00000000">
              <w:rPr>
                <w:rtl w:val="0"/>
              </w:rPr>
              <w:t xml:space="preserve">Contour Antistress</w:t>
            </w:r>
          </w:p>
        </w:tc>
      </w:tr>
      <w:tr>
        <w:trPr>
          <w:cantSplit w:val="0"/>
          <w:trHeight w:val="581" w:hRule="atLeast"/>
          <w:tblHeader w:val="0"/>
        </w:trPr>
        <w:tc>
          <w:tcPr>
            <w:tcMar>
              <w:top w:w="150.0" w:type="dxa"/>
              <w:left w:w="0.0" w:type="dxa"/>
              <w:bottom w:w="150.0" w:type="dxa"/>
              <w:right w:w="240.0" w:type="dxa"/>
            </w:tcMar>
            <w:vAlign w:val="center"/>
          </w:tcPr>
          <w:p w:rsidR="00000000" w:rsidDel="00000000" w:rsidP="00000000" w:rsidRDefault="00000000" w:rsidRPr="00000000" w14:paraId="00000028">
            <w:pPr>
              <w:spacing w:after="0" w:lineRule="auto"/>
              <w:jc w:val="both"/>
              <w:rPr/>
            </w:pPr>
            <w:r w:rsidDel="00000000" w:rsidR="00000000" w:rsidRPr="00000000">
              <w:rPr>
                <w:rtl w:val="0"/>
              </w:rPr>
              <w:t xml:space="preserve">29-31 (Fase di levata)</w:t>
            </w:r>
          </w:p>
        </w:tc>
        <w:tc>
          <w:tcPr>
            <w:tcMar>
              <w:top w:w="150.0" w:type="dxa"/>
              <w:left w:w="240.0" w:type="dxa"/>
              <w:bottom w:w="150.0" w:type="dxa"/>
              <w:right w:w="240.0" w:type="dxa"/>
            </w:tcMar>
            <w:vAlign w:val="center"/>
          </w:tcPr>
          <w:p w:rsidR="00000000" w:rsidDel="00000000" w:rsidP="00000000" w:rsidRDefault="00000000" w:rsidRPr="00000000" w14:paraId="00000029">
            <w:pPr>
              <w:spacing w:after="0" w:lineRule="auto"/>
              <w:jc w:val="both"/>
              <w:rPr/>
            </w:pPr>
            <w:r w:rsidDel="00000000" w:rsidR="00000000" w:rsidRPr="00000000">
              <w:rPr>
                <w:rtl w:val="0"/>
              </w:rPr>
              <w:t xml:space="preserve">Stimolazione della crescita del fusto, aumento del numero di grani nella spiga.</w:t>
            </w:r>
          </w:p>
        </w:tc>
        <w:tc>
          <w:tcPr>
            <w:tcMar>
              <w:top w:w="150.0" w:type="dxa"/>
              <w:left w:w="240.0" w:type="dxa"/>
              <w:bottom w:w="150.0" w:type="dxa"/>
              <w:right w:w="0.0" w:type="dxa"/>
            </w:tcMar>
            <w:vAlign w:val="center"/>
          </w:tcPr>
          <w:p w:rsidR="00000000" w:rsidDel="00000000" w:rsidP="00000000" w:rsidRDefault="00000000" w:rsidRPr="00000000" w14:paraId="0000002A">
            <w:pPr>
              <w:spacing w:after="0" w:lineRule="auto"/>
              <w:jc w:val="both"/>
              <w:rPr/>
            </w:pPr>
            <w:r w:rsidDel="00000000" w:rsidR="00000000" w:rsidRPr="00000000">
              <w:rPr>
                <w:rtl w:val="0"/>
              </w:rPr>
              <w:t xml:space="preserve">Protezione da stress termico e carichi chimici.</w:t>
            </w:r>
          </w:p>
        </w:tc>
      </w:tr>
      <w:tr>
        <w:trPr>
          <w:cantSplit w:val="0"/>
          <w:trHeight w:val="851" w:hRule="atLeast"/>
          <w:tblHeader w:val="0"/>
        </w:trPr>
        <w:tc>
          <w:tcPr>
            <w:tcMar>
              <w:top w:w="150.0" w:type="dxa"/>
              <w:left w:w="0.0" w:type="dxa"/>
              <w:bottom w:w="150.0" w:type="dxa"/>
              <w:right w:w="240.0" w:type="dxa"/>
            </w:tcMar>
            <w:vAlign w:val="center"/>
          </w:tcPr>
          <w:p w:rsidR="00000000" w:rsidDel="00000000" w:rsidP="00000000" w:rsidRDefault="00000000" w:rsidRPr="00000000" w14:paraId="0000002B">
            <w:pPr>
              <w:spacing w:after="0" w:lineRule="auto"/>
              <w:jc w:val="both"/>
              <w:rPr/>
            </w:pPr>
            <w:r w:rsidDel="00000000" w:rsidR="00000000" w:rsidRPr="00000000">
              <w:rPr>
                <w:rtl w:val="0"/>
              </w:rPr>
              <w:t xml:space="preserve">39 (foglia a bandiera)</w:t>
            </w:r>
          </w:p>
        </w:tc>
        <w:tc>
          <w:tcPr>
            <w:tcMar>
              <w:top w:w="150.0" w:type="dxa"/>
              <w:left w:w="240.0" w:type="dxa"/>
              <w:bottom w:w="150.0" w:type="dxa"/>
              <w:right w:w="240.0" w:type="dxa"/>
            </w:tcMar>
            <w:vAlign w:val="center"/>
          </w:tcPr>
          <w:p w:rsidR="00000000" w:rsidDel="00000000" w:rsidP="00000000" w:rsidRDefault="00000000" w:rsidRPr="00000000" w14:paraId="0000002C">
            <w:pPr>
              <w:spacing w:after="0" w:lineRule="auto"/>
              <w:jc w:val="both"/>
              <w:rPr/>
            </w:pPr>
            <w:r w:rsidDel="00000000" w:rsidR="00000000" w:rsidRPr="00000000">
              <w:rPr>
                <w:rtl w:val="0"/>
              </w:rPr>
              <w:t xml:space="preserve">Intensificazione della fotosintesi, miglioramento del riempimento dei chicchi.</w:t>
            </w:r>
          </w:p>
        </w:tc>
        <w:tc>
          <w:tcPr>
            <w:tcMar>
              <w:top w:w="150.0" w:type="dxa"/>
              <w:left w:w="240.0" w:type="dxa"/>
              <w:bottom w:w="150.0" w:type="dxa"/>
              <w:right w:w="0.0" w:type="dxa"/>
            </w:tcMar>
            <w:vAlign w:val="center"/>
          </w:tcPr>
          <w:p w:rsidR="00000000" w:rsidDel="00000000" w:rsidP="00000000" w:rsidRDefault="00000000" w:rsidRPr="00000000" w14:paraId="0000002D">
            <w:pPr>
              <w:spacing w:after="0" w:lineRule="auto"/>
              <w:jc w:val="both"/>
              <w:rPr/>
            </w:pPr>
            <w:r w:rsidDel="00000000" w:rsidR="00000000" w:rsidRPr="00000000">
              <w:rPr>
                <w:rtl w:val="0"/>
              </w:rPr>
              <w:t xml:space="preserve">Supporta l'immunità e migliora la qualità delle proteine.</w:t>
            </w:r>
          </w:p>
        </w:tc>
      </w:tr>
    </w:tbl>
    <w:p w:rsidR="00000000" w:rsidDel="00000000" w:rsidP="00000000" w:rsidRDefault="00000000" w:rsidRPr="00000000" w14:paraId="0000002E">
      <w:pPr>
        <w:spacing w:after="0" w:lineRule="auto"/>
        <w:ind w:firstLine="709"/>
        <w:jc w:val="both"/>
        <w:rPr>
          <w:b w:val="1"/>
          <w:bCs w:val="1"/>
        </w:rPr>
      </w:pPr>
      <w:r w:rsidDel="00000000" w:rsidR="00000000" w:rsidRPr="00000000">
        <w:rPr>
          <w:rtl w:val="0"/>
        </w:rPr>
      </w:r>
    </w:p>
    <w:p w:rsidR="00000000" w:rsidDel="00000000" w:rsidP="00000000" w:rsidRDefault="00000000" w:rsidRPr="00000000" w14:paraId="0000002F">
      <w:pPr>
        <w:spacing w:after="0" w:lineRule="auto"/>
        <w:ind w:firstLine="709"/>
        <w:jc w:val="both"/>
        <w:rPr>
          <w:b w:val="1"/>
          <w:bCs w:val="1"/>
        </w:rPr>
      </w:pPr>
      <w:r w:rsidDel="00000000" w:rsidR="00000000" w:rsidRPr="00000000">
        <w:rPr>
          <w:b w:val="1"/>
          <w:bCs w:val="1"/>
          <w:rtl w:val="0"/>
        </w:rPr>
        <w:t xml:space="preserve">Schema consigliato:</w:t>
      </w:r>
    </w:p>
    <w:p w:rsidR="00000000" w:rsidDel="00000000" w:rsidP="00000000" w:rsidRDefault="00000000" w:rsidRPr="00000000" w14:paraId="00000030">
      <w:pPr>
        <w:numPr>
          <w:ilvl w:val="0"/>
          <w:numId w:val="4"/>
        </w:numPr>
        <w:spacing w:after="0" w:lineRule="auto"/>
        <w:ind w:left="720" w:hanging="360"/>
        <w:jc w:val="both"/>
        <w:rPr/>
      </w:pPr>
      <w:r w:rsidDel="00000000" w:rsidR="00000000" w:rsidRPr="00000000">
        <w:rPr>
          <w:rtl w:val="0"/>
        </w:rPr>
        <w:t xml:space="preserve">Contour Growth: 0,6 l/ha nelle fasi 29-31 e 39.</w:t>
      </w:r>
    </w:p>
    <w:p w:rsidR="00000000" w:rsidDel="00000000" w:rsidP="00000000" w:rsidRDefault="00000000" w:rsidRPr="00000000" w14:paraId="00000031">
      <w:pPr>
        <w:numPr>
          <w:ilvl w:val="0"/>
          <w:numId w:val="4"/>
        </w:numPr>
        <w:spacing w:after="0" w:lineRule="auto"/>
        <w:ind w:left="720" w:hanging="360"/>
        <w:jc w:val="both"/>
        <w:rPr/>
      </w:pPr>
      <w:r w:rsidDel="00000000" w:rsidR="00000000" w:rsidRPr="00000000">
        <w:rPr>
          <w:rtl w:val="0"/>
        </w:rPr>
        <w:t xml:space="preserve">Contour Antistress: 0,5 l/ha durante le stesse fasi in cui sono previste condizioni di stress.</w:t>
      </w:r>
    </w:p>
    <w:p w:rsidR="00000000" w:rsidDel="00000000" w:rsidP="00000000" w:rsidRDefault="00000000" w:rsidRPr="00000000" w14:paraId="00000032">
      <w:pPr>
        <w:spacing w:after="0" w:lineRule="auto"/>
        <w:ind w:firstLine="709"/>
        <w:jc w:val="both"/>
        <w:rPr/>
      </w:pPr>
      <w:r w:rsidDel="00000000" w:rsidR="00000000" w:rsidRPr="00000000">
        <w:rPr>
          <w:rtl w:val="0"/>
        </w:rPr>
      </w:r>
    </w:p>
    <w:p w:rsidR="00000000" w:rsidDel="00000000" w:rsidP="00000000" w:rsidRDefault="00000000" w:rsidRPr="00000000" w14:paraId="00000033">
      <w:pPr>
        <w:spacing w:after="0" w:lineRule="auto"/>
        <w:jc w:val="both"/>
        <w:rPr>
          <w:b w:val="1"/>
          <w:bCs w:val="1"/>
        </w:rPr>
      </w:pPr>
      <w:r w:rsidDel="00000000" w:rsidR="00000000" w:rsidRPr="00000000">
        <w:rPr>
          <w:b w:val="1"/>
          <w:bCs w:val="1"/>
          <w:rtl w:val="0"/>
        </w:rPr>
        <w:t xml:space="preserve">Risultato :</w:t>
      </w:r>
    </w:p>
    <w:p w:rsidR="00000000" w:rsidDel="00000000" w:rsidP="00000000" w:rsidRDefault="00000000" w:rsidRPr="00000000" w14:paraId="00000034">
      <w:pPr>
        <w:spacing w:after="0" w:lineRule="auto"/>
        <w:jc w:val="both"/>
        <w:rPr/>
      </w:pPr>
      <w:r w:rsidDel="00000000" w:rsidR="00000000" w:rsidRPr="00000000">
        <w:rPr>
          <w:rtl w:val="0"/>
        </w:rPr>
        <w:t xml:space="preserve">Contour Growth è la scelta giusta per la massima resa e qualità del grano. Contour Antistress è la tua assicurazione contro lo stress durante tutta la stagione.</w:t>
      </w:r>
    </w:p>
    <w:p w:rsidR="00000000" w:rsidDel="00000000" w:rsidP="00000000" w:rsidRDefault="00000000" w:rsidRPr="00000000" w14:paraId="00000035">
      <w:pPr>
        <w:spacing w:after="0" w:lineRule="auto"/>
        <w:jc w:val="both"/>
        <w:rPr/>
      </w:pPr>
      <w:r w:rsidDel="00000000" w:rsidR="00000000" w:rsidRPr="00000000">
        <w:rPr>
          <w:rtl w:val="0"/>
        </w:rPr>
        <w:t xml:space="preserve">Insieme danno:</w:t>
      </w:r>
    </w:p>
    <w:p w:rsidR="00000000" w:rsidDel="00000000" w:rsidP="00000000" w:rsidRDefault="00000000" w:rsidRPr="00000000" w14:paraId="00000036">
      <w:pPr>
        <w:numPr>
          <w:ilvl w:val="0"/>
          <w:numId w:val="6"/>
        </w:numPr>
        <w:spacing w:after="0" w:lineRule="auto"/>
        <w:ind w:left="720" w:hanging="360"/>
        <w:jc w:val="both"/>
        <w:rPr/>
      </w:pPr>
      <w:r w:rsidDel="00000000" w:rsidR="00000000" w:rsidRPr="00000000">
        <w:rPr>
          <w:rtl w:val="0"/>
        </w:rPr>
        <w:t xml:space="preserve">Aumento stabile della resa.</w:t>
      </w:r>
    </w:p>
    <w:p w:rsidR="00000000" w:rsidDel="00000000" w:rsidP="00000000" w:rsidRDefault="00000000" w:rsidRPr="00000000" w14:paraId="00000037">
      <w:pPr>
        <w:numPr>
          <w:ilvl w:val="0"/>
          <w:numId w:val="6"/>
        </w:numPr>
        <w:spacing w:after="0" w:lineRule="auto"/>
        <w:ind w:left="720" w:hanging="360"/>
        <w:jc w:val="both"/>
        <w:rPr/>
      </w:pPr>
      <w:r w:rsidDel="00000000" w:rsidR="00000000" w:rsidRPr="00000000">
        <w:rPr>
          <w:rtl w:val="0"/>
        </w:rPr>
        <w:t xml:space="preserve">Aumento delle proteine.</w:t>
      </w:r>
    </w:p>
    <w:p w:rsidR="00000000" w:rsidDel="00000000" w:rsidP="00000000" w:rsidRDefault="00000000" w:rsidRPr="00000000" w14:paraId="00000038">
      <w:pPr>
        <w:numPr>
          <w:ilvl w:val="0"/>
          <w:numId w:val="6"/>
        </w:numPr>
        <w:spacing w:after="0" w:lineRule="auto"/>
        <w:ind w:left="720" w:hanging="360"/>
        <w:jc w:val="both"/>
        <w:rPr/>
      </w:pPr>
      <w:r w:rsidDel="00000000" w:rsidR="00000000" w:rsidRPr="00000000">
        <w:rPr>
          <w:rtl w:val="0"/>
        </w:rPr>
        <w:t xml:space="preserve">Ritorno sull'investimento garantito.</w:t>
      </w:r>
    </w:p>
    <w:p w:rsidR="00000000" w:rsidDel="00000000" w:rsidP="00000000" w:rsidRDefault="00000000" w:rsidRPr="00000000" w14:paraId="00000039">
      <w:pPr>
        <w:spacing w:after="0" w:lineRule="auto"/>
        <w:ind w:left="720" w:firstLine="0"/>
        <w:jc w:val="both"/>
        <w:rPr/>
      </w:pPr>
      <w:r w:rsidDel="00000000" w:rsidR="00000000" w:rsidRPr="00000000">
        <w:rPr>
          <w:rtl w:val="0"/>
        </w:rPr>
      </w:r>
    </w:p>
    <w:p w:rsidR="00000000" w:rsidDel="00000000" w:rsidP="00000000" w:rsidRDefault="00000000" w:rsidRPr="00000000" w14:paraId="0000003A">
      <w:pPr>
        <w:spacing w:after="0" w:lineRule="auto"/>
        <w:jc w:val="both"/>
        <w:rPr/>
      </w:pPr>
      <w:r w:rsidDel="00000000" w:rsidR="00000000" w:rsidRPr="00000000">
        <w:rPr>
          <w:rtl w:val="0"/>
        </w:rPr>
        <w:t xml:space="preserve">Questi prodotti aumentano l'efficienza degli investimenti in fertilizzanti migliorando la digeribilità dei nutrienti e riducendo il rischio di perdite legate allo stress. Rappresentano un modo affidabile per supportare le piante durante le fasi chiave dello sviluppo e garantire il mantenimento delle rese quantitative e qualitative, anche in condizioni stagionali difficili.</w:t>
      </w:r>
    </w:p>
    <w:p w:rsidR="00000000" w:rsidDel="00000000" w:rsidP="00000000" w:rsidRDefault="00000000" w:rsidRPr="00000000" w14:paraId="0000003B">
      <w:pPr>
        <w:spacing w:after="0" w:lineRule="auto"/>
        <w:ind w:firstLine="709"/>
        <w:jc w:val="both"/>
        <w:rPr/>
      </w:pPr>
      <w:r w:rsidDel="00000000" w:rsidR="00000000" w:rsidRPr="00000000">
        <w:rPr>
          <w:rtl w:val="0"/>
        </w:rPr>
      </w:r>
    </w:p>
    <w:p w:rsidR="00000000" w:rsidDel="00000000" w:rsidP="00000000" w:rsidRDefault="00000000" w:rsidRPr="00000000" w14:paraId="0000003C">
      <w:pPr>
        <w:spacing w:after="0" w:lineRule="auto"/>
        <w:ind w:firstLine="709"/>
        <w:jc w:val="both"/>
        <w:rPr/>
      </w:pPr>
      <w:r w:rsidDel="00000000" w:rsidR="00000000" w:rsidRPr="00000000">
        <w:rPr>
          <w:rtl w:val="0"/>
        </w:rPr>
        <w:t xml:space="preserve">Siete pronti ad aumentare la resa del vostro grano?</w:t>
      </w:r>
    </w:p>
    <w:p w:rsidR="00000000" w:rsidDel="00000000" w:rsidP="00000000" w:rsidRDefault="00000000" w:rsidRPr="00000000" w14:paraId="0000003D">
      <w:pPr>
        <w:spacing w:after="0" w:lineRule="auto"/>
        <w:ind w:firstLine="709"/>
        <w:jc w:val="both"/>
        <w:rPr/>
      </w:pPr>
      <w:r w:rsidDel="00000000" w:rsidR="00000000" w:rsidRPr="00000000">
        <w:rPr>
          <w:rtl w:val="0"/>
        </w:rPr>
        <w:t xml:space="preserve">Contattateci per sviluppare un piano applicativo Contour personalizzato, adattato alle vostre condizioni e tecnologie.</w:t>
      </w:r>
    </w:p>
    <w:sectPr>
      <w:pgSz w:h="16838" w:w="11906" w:orient="portrait"/>
      <w:pgMar w:bottom="1134" w:top="1134" w:left="1701" w:right="851"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8"/>
        <w:szCs w:val="28"/>
        <w:lang w:val="it"/>
      </w:rPr>
    </w:rPrDefault>
    <w:pPrDefault>
      <w:pPr>
        <w:spacing w:after="16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libri" w:cs="Calibri" w:eastAsia="Calibri" w:hAnsi="Calibri"/>
      <w:color w:val="2e75b5"/>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e75b5"/>
      <w:sz w:val="32"/>
      <w:szCs w:val="32"/>
    </w:rPr>
  </w:style>
  <w:style w:type="paragraph" w:styleId="Heading3">
    <w:name w:val="heading 3"/>
    <w:basedOn w:val="Normal"/>
    <w:next w:val="Normal"/>
    <w:pPr>
      <w:keepNext w:val="1"/>
      <w:keepLines w:val="1"/>
      <w:spacing w:after="80" w:before="160" w:lineRule="auto"/>
    </w:pPr>
    <w:rPr>
      <w:rFonts w:ascii="Calibri" w:cs="Calibri" w:eastAsia="Calibri" w:hAnsi="Calibri"/>
      <w:color w:val="2e75b5"/>
    </w:rPr>
  </w:style>
  <w:style w:type="paragraph" w:styleId="Heading4">
    <w:name w:val="heading 4"/>
    <w:basedOn w:val="Normal"/>
    <w:next w:val="Normal"/>
    <w:pPr>
      <w:keepNext w:val="1"/>
      <w:keepLines w:val="1"/>
      <w:spacing w:after="40" w:before="80" w:lineRule="auto"/>
    </w:pPr>
    <w:rPr>
      <w:rFonts w:ascii="Calibri" w:cs="Calibri" w:eastAsia="Calibri" w:hAnsi="Calibri"/>
      <w:i w:val="1"/>
      <w:iCs w:val="1"/>
      <w:color w:val="2e75b5"/>
    </w:rPr>
  </w:style>
  <w:style w:type="paragraph" w:styleId="Heading5">
    <w:name w:val="heading 5"/>
    <w:basedOn w:val="Normal"/>
    <w:next w:val="Normal"/>
    <w:pPr>
      <w:keepNext w:val="1"/>
      <w:keepLines w:val="1"/>
      <w:spacing w:after="40" w:before="80" w:lineRule="auto"/>
    </w:pPr>
    <w:rPr>
      <w:rFonts w:ascii="Calibri" w:cs="Calibri" w:eastAsia="Calibri" w:hAnsi="Calibri"/>
      <w:color w:val="2e75b5"/>
    </w:rPr>
  </w:style>
  <w:style w:type="paragraph" w:styleId="Heading6">
    <w:name w:val="heading 6"/>
    <w:basedOn w:val="Normal"/>
    <w:next w:val="Normal"/>
    <w:pPr>
      <w:keepNext w:val="1"/>
      <w:keepLines w:val="1"/>
      <w:spacing w:after="0" w:before="40" w:lineRule="auto"/>
    </w:pPr>
    <w:rPr>
      <w:rFonts w:ascii="Calibri" w:cs="Calibri" w:eastAsia="Calibri" w:hAnsi="Calibri"/>
      <w:i w:val="1"/>
      <w:iCs w:val="1"/>
      <w:color w:val="595959"/>
    </w:rPr>
  </w:style>
  <w:style w:type="paragraph" w:styleId="Title">
    <w:name w:val="Title"/>
    <w:basedOn w:val="Normal"/>
    <w:next w:val="Normal"/>
    <w:pPr>
      <w:spacing w:after="80" w:lineRule="auto"/>
    </w:pPr>
    <w:rPr>
      <w:rFonts w:ascii="Calibri" w:cs="Calibri" w:eastAsia="Calibri" w:hAnsi="Calibri"/>
      <w:sz w:val="56"/>
      <w:szCs w:val="56"/>
    </w:rPr>
  </w:style>
  <w:style w:type="paragraph" w:styleId="Titolo7">
    <w:name w:val="heading 7"/>
    <w:basedOn w:val="Normale"/>
    <w:next w:val="Normale"/>
    <w:link w:val="Titolo7Carattere"/>
    <w:uiPriority w:val="9"/>
    <w:semiHidden w:val="1"/>
    <w:unhideWhenUsed w:val="1"/>
    <w:qFormat w:val="1"/>
    <w:rsid w:val="002D76E3"/>
    <w:pPr>
      <w:keepNext w:val="1"/>
      <w:keepLines w:val="1"/>
      <w:spacing w:after="0" w:before="40"/>
      <w:outlineLvl w:val="6"/>
    </w:pPr>
    <w:rPr>
      <w:rFonts w:asciiTheme="minorHAnsi" w:cstheme="majorBidi" w:eastAsiaTheme="majorEastAsia" w:hAnsiTheme="minorHAnsi"/>
      <w:color w:val="595959" w:themeColor="text1" w:themeTint="0000A6"/>
    </w:rPr>
  </w:style>
  <w:style w:type="paragraph" w:styleId="Titolo8">
    <w:name w:val="heading 8"/>
    <w:basedOn w:val="Normale"/>
    <w:next w:val="Normale"/>
    <w:link w:val="Titolo8Carattere"/>
    <w:uiPriority w:val="9"/>
    <w:semiHidden w:val="1"/>
    <w:unhideWhenUsed w:val="1"/>
    <w:qFormat w:val="1"/>
    <w:rsid w:val="002D76E3"/>
    <w:pPr>
      <w:keepNext w:val="1"/>
      <w:keepLines w:val="1"/>
      <w:spacing w:after="0"/>
      <w:outlineLvl w:val="7"/>
    </w:pPr>
    <w:rPr>
      <w:rFonts w:asciiTheme="minorHAnsi" w:cstheme="majorBidi" w:eastAsiaTheme="majorEastAsia" w:hAnsiTheme="minorHAnsi"/>
      <w:i w:val="1"/>
      <w:iCs w:val="1"/>
      <w:color w:val="272727" w:themeColor="text1" w:themeTint="0000D8"/>
    </w:rPr>
  </w:style>
  <w:style w:type="paragraph" w:styleId="Titolo9">
    <w:name w:val="heading 9"/>
    <w:basedOn w:val="Normale"/>
    <w:next w:val="Normale"/>
    <w:link w:val="Titolo9Carattere"/>
    <w:uiPriority w:val="9"/>
    <w:semiHidden w:val="1"/>
    <w:unhideWhenUsed w:val="1"/>
    <w:qFormat w:val="1"/>
    <w:rsid w:val="002D76E3"/>
    <w:pPr>
      <w:keepNext w:val="1"/>
      <w:keepLines w:val="1"/>
      <w:spacing w:after="0"/>
      <w:outlineLvl w:val="8"/>
    </w:pPr>
    <w:rPr>
      <w:rFonts w:asciiTheme="minorHAnsi" w:cstheme="majorBidi" w:eastAsiaTheme="majorEastAsia" w:hAnsiTheme="minorHAnsi"/>
      <w:color w:val="272727" w:themeColor="text1" w:themeTint="0000D8"/>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character" w:styleId="Titolo1Carattere" w:customStyle="1">
    <w:name w:val="Titolo 1 Carattere"/>
    <w:basedOn w:val="Carpredefinitoparagrafo"/>
    <w:link w:val="Titolo1"/>
    <w:uiPriority w:val="9"/>
    <w:rsid w:val="002D76E3"/>
    <w:rPr>
      <w:rFonts w:asciiTheme="majorHAnsi" w:cstheme="majorBidi" w:eastAsiaTheme="majorEastAsia" w:hAnsiTheme="majorHAnsi"/>
      <w:color w:val="2e74b5" w:themeColor="accent1" w:themeShade="0000BF"/>
      <w:sz w:val="40"/>
      <w:szCs w:val="40"/>
    </w:rPr>
  </w:style>
  <w:style w:type="character" w:styleId="Titolo2Carattere" w:customStyle="1">
    <w:name w:val="Titolo 2 Carattere"/>
    <w:basedOn w:val="Carpredefinitoparagrafo"/>
    <w:link w:val="Titolo2"/>
    <w:uiPriority w:val="9"/>
    <w:semiHidden w:val="1"/>
    <w:rsid w:val="002D76E3"/>
    <w:rPr>
      <w:rFonts w:asciiTheme="majorHAnsi" w:cstheme="majorBidi" w:eastAsiaTheme="majorEastAsia" w:hAnsiTheme="majorHAnsi"/>
      <w:color w:val="2e74b5" w:themeColor="accent1" w:themeShade="0000BF"/>
      <w:sz w:val="32"/>
      <w:szCs w:val="32"/>
    </w:rPr>
  </w:style>
  <w:style w:type="character" w:styleId="Titolo3Carattere" w:customStyle="1">
    <w:name w:val="Titolo 3 Carattere"/>
    <w:basedOn w:val="Carpredefinitoparagrafo"/>
    <w:link w:val="Titolo3"/>
    <w:uiPriority w:val="9"/>
    <w:semiHidden w:val="1"/>
    <w:rsid w:val="002D76E3"/>
    <w:rPr>
      <w:rFonts w:cstheme="majorBidi" w:eastAsiaTheme="majorEastAsia"/>
      <w:color w:val="2e74b5" w:themeColor="accent1" w:themeShade="0000BF"/>
      <w:sz w:val="28"/>
      <w:szCs w:val="28"/>
    </w:rPr>
  </w:style>
  <w:style w:type="character" w:styleId="Titolo4Carattere" w:customStyle="1">
    <w:name w:val="Titolo 4 Carattere"/>
    <w:basedOn w:val="Carpredefinitoparagrafo"/>
    <w:link w:val="Titolo4"/>
    <w:uiPriority w:val="9"/>
    <w:semiHidden w:val="1"/>
    <w:rsid w:val="002D76E3"/>
    <w:rPr>
      <w:rFonts w:cstheme="majorBidi" w:eastAsiaTheme="majorEastAsia"/>
      <w:i w:val="1"/>
      <w:iCs w:val="1"/>
      <w:color w:val="2e74b5" w:themeColor="accent1" w:themeShade="0000BF"/>
      <w:sz w:val="28"/>
    </w:rPr>
  </w:style>
  <w:style w:type="character" w:styleId="Titolo5Carattere" w:customStyle="1">
    <w:name w:val="Titolo 5 Carattere"/>
    <w:basedOn w:val="Carpredefinitoparagrafo"/>
    <w:link w:val="Titolo5"/>
    <w:uiPriority w:val="9"/>
    <w:semiHidden w:val="1"/>
    <w:rsid w:val="002D76E3"/>
    <w:rPr>
      <w:rFonts w:cstheme="majorBidi" w:eastAsiaTheme="majorEastAsia"/>
      <w:color w:val="2e74b5" w:themeColor="accent1" w:themeShade="0000BF"/>
      <w:sz w:val="28"/>
    </w:rPr>
  </w:style>
  <w:style w:type="character" w:styleId="Titolo6Carattere" w:customStyle="1">
    <w:name w:val="Titolo 6 Carattere"/>
    <w:basedOn w:val="Carpredefinitoparagrafo"/>
    <w:link w:val="Titolo6"/>
    <w:uiPriority w:val="9"/>
    <w:semiHidden w:val="1"/>
    <w:rsid w:val="002D76E3"/>
    <w:rPr>
      <w:rFonts w:cstheme="majorBidi" w:eastAsiaTheme="majorEastAsia"/>
      <w:i w:val="1"/>
      <w:iCs w:val="1"/>
      <w:color w:val="595959" w:themeColor="text1" w:themeTint="0000A6"/>
      <w:sz w:val="28"/>
    </w:rPr>
  </w:style>
  <w:style w:type="character" w:styleId="Titolo7Carattere" w:customStyle="1">
    <w:name w:val="Titolo 7 Carattere"/>
    <w:basedOn w:val="Carpredefinitoparagrafo"/>
    <w:link w:val="Titolo7"/>
    <w:uiPriority w:val="9"/>
    <w:semiHidden w:val="1"/>
    <w:rsid w:val="002D76E3"/>
    <w:rPr>
      <w:rFonts w:cstheme="majorBidi" w:eastAsiaTheme="majorEastAsia"/>
      <w:color w:val="595959" w:themeColor="text1" w:themeTint="0000A6"/>
      <w:sz w:val="28"/>
    </w:rPr>
  </w:style>
  <w:style w:type="character" w:styleId="Titolo8Carattere" w:customStyle="1">
    <w:name w:val="Titolo 8 Carattere"/>
    <w:basedOn w:val="Carpredefinitoparagrafo"/>
    <w:link w:val="Titolo8"/>
    <w:uiPriority w:val="9"/>
    <w:semiHidden w:val="1"/>
    <w:rsid w:val="002D76E3"/>
    <w:rPr>
      <w:rFonts w:cstheme="majorBidi" w:eastAsiaTheme="majorEastAsia"/>
      <w:i w:val="1"/>
      <w:iCs w:val="1"/>
      <w:color w:val="272727" w:themeColor="text1" w:themeTint="0000D8"/>
      <w:sz w:val="28"/>
    </w:rPr>
  </w:style>
  <w:style w:type="character" w:styleId="Titolo9Carattere" w:customStyle="1">
    <w:name w:val="Titolo 9 Carattere"/>
    <w:basedOn w:val="Carpredefinitoparagrafo"/>
    <w:link w:val="Titolo9"/>
    <w:uiPriority w:val="9"/>
    <w:semiHidden w:val="1"/>
    <w:rsid w:val="002D76E3"/>
    <w:rPr>
      <w:rFonts w:cstheme="majorBidi" w:eastAsiaTheme="majorEastAsia"/>
      <w:color w:val="272727" w:themeColor="text1" w:themeTint="0000D8"/>
      <w:sz w:val="28"/>
    </w:rPr>
  </w:style>
  <w:style w:type="character" w:styleId="TitoloCarattere" w:customStyle="1">
    <w:name w:val="Titolo Carattere"/>
    <w:basedOn w:val="Carpredefinitoparagrafo"/>
    <w:link w:val="Titolo"/>
    <w:uiPriority w:val="10"/>
    <w:rsid w:val="002D76E3"/>
    <w:rPr>
      <w:rFonts w:asciiTheme="majorHAnsi" w:cstheme="majorBidi" w:eastAsiaTheme="majorEastAsia" w:hAnsiTheme="majorHAnsi"/>
      <w:spacing w:val="-10"/>
      <w:kern w:val="28"/>
      <w:sz w:val="56"/>
      <w:szCs w:val="56"/>
    </w:rPr>
  </w:style>
  <w:style w:type="character" w:styleId="SottotitoloCarattere" w:customStyle="1">
    <w:name w:val="Sottotitolo Carattere"/>
    <w:basedOn w:val="Carpredefinitoparagrafo"/>
    <w:link w:val="Sottotitolo"/>
    <w:uiPriority w:val="11"/>
    <w:rsid w:val="002D76E3"/>
    <w:rPr>
      <w:rFonts w:cstheme="majorBidi" w:eastAsiaTheme="majorEastAsia"/>
      <w:color w:val="595959" w:themeColor="text1" w:themeTint="0000A6"/>
      <w:spacing w:val="15"/>
      <w:sz w:val="28"/>
      <w:szCs w:val="28"/>
    </w:rPr>
  </w:style>
  <w:style w:type="paragraph" w:styleId="Citazione">
    <w:name w:val="Quote"/>
    <w:basedOn w:val="Normale"/>
    <w:next w:val="Normale"/>
    <w:link w:val="CitazioneCarattere"/>
    <w:uiPriority w:val="29"/>
    <w:qFormat w:val="1"/>
    <w:rsid w:val="002D76E3"/>
    <w:pPr>
      <w:spacing w:before="160"/>
      <w:jc w:val="center"/>
    </w:pPr>
    <w:rPr>
      <w:i w:val="1"/>
      <w:iCs w:val="1"/>
      <w:color w:val="404040" w:themeColor="text1" w:themeTint="0000BF"/>
    </w:rPr>
  </w:style>
  <w:style w:type="character" w:styleId="CitazioneCarattere" w:customStyle="1">
    <w:name w:val="Citazione Carattere"/>
    <w:basedOn w:val="Carpredefinitoparagrafo"/>
    <w:link w:val="Citazione"/>
    <w:uiPriority w:val="29"/>
    <w:rsid w:val="002D76E3"/>
    <w:rPr>
      <w:rFonts w:ascii="Times New Roman" w:hAnsi="Times New Roman"/>
      <w:i w:val="1"/>
      <w:iCs w:val="1"/>
      <w:color w:val="404040" w:themeColor="text1" w:themeTint="0000BF"/>
      <w:sz w:val="28"/>
    </w:rPr>
  </w:style>
  <w:style w:type="paragraph" w:styleId="Paragrafoelenco">
    <w:name w:val="List Paragraph"/>
    <w:basedOn w:val="Normale"/>
    <w:uiPriority w:val="34"/>
    <w:qFormat w:val="1"/>
    <w:rsid w:val="002D76E3"/>
    <w:pPr>
      <w:ind w:left="720"/>
      <w:contextualSpacing w:val="1"/>
    </w:pPr>
  </w:style>
  <w:style w:type="character" w:styleId="Enfasiintensa">
    <w:name w:val="Intense Emphasis"/>
    <w:basedOn w:val="Carpredefinitoparagrafo"/>
    <w:uiPriority w:val="21"/>
    <w:qFormat w:val="1"/>
    <w:rsid w:val="002D76E3"/>
    <w:rPr>
      <w:i w:val="1"/>
      <w:iCs w:val="1"/>
      <w:color w:val="2e74b5" w:themeColor="accent1" w:themeShade="0000BF"/>
    </w:rPr>
  </w:style>
  <w:style w:type="paragraph" w:styleId="Citazioneintensa">
    <w:name w:val="Intense Quote"/>
    <w:basedOn w:val="Normale"/>
    <w:next w:val="Normale"/>
    <w:link w:val="CitazioneintensaCarattere"/>
    <w:uiPriority w:val="30"/>
    <w:qFormat w:val="1"/>
    <w:rsid w:val="002D76E3"/>
    <w:pPr>
      <w:pBdr>
        <w:top w:color="2e74b5" w:space="10" w:sz="4" w:themeColor="accent1" w:themeShade="0000BF" w:val="single"/>
        <w:bottom w:color="2e74b5" w:space="10" w:sz="4" w:themeColor="accent1" w:themeShade="0000BF" w:val="single"/>
      </w:pBdr>
      <w:spacing w:after="360" w:before="360"/>
      <w:ind w:left="864" w:right="864"/>
      <w:jc w:val="center"/>
    </w:pPr>
    <w:rPr>
      <w:i w:val="1"/>
      <w:iCs w:val="1"/>
      <w:color w:val="2e74b5" w:themeColor="accent1" w:themeShade="0000BF"/>
    </w:rPr>
  </w:style>
  <w:style w:type="character" w:styleId="CitazioneintensaCarattere" w:customStyle="1">
    <w:name w:val="Citazione intensa Carattere"/>
    <w:basedOn w:val="Carpredefinitoparagrafo"/>
    <w:link w:val="Citazioneintensa"/>
    <w:uiPriority w:val="30"/>
    <w:rsid w:val="002D76E3"/>
    <w:rPr>
      <w:rFonts w:ascii="Times New Roman" w:hAnsi="Times New Roman"/>
      <w:i w:val="1"/>
      <w:iCs w:val="1"/>
      <w:color w:val="2e74b5" w:themeColor="accent1" w:themeShade="0000BF"/>
      <w:sz w:val="28"/>
    </w:rPr>
  </w:style>
  <w:style w:type="character" w:styleId="Riferimentointenso">
    <w:name w:val="Intense Reference"/>
    <w:basedOn w:val="Carpredefinitoparagrafo"/>
    <w:uiPriority w:val="32"/>
    <w:qFormat w:val="1"/>
    <w:rsid w:val="002D76E3"/>
    <w:rPr>
      <w:b w:val="1"/>
      <w:bCs w:val="1"/>
      <w:smallCaps w:val="1"/>
      <w:color w:val="2e74b5" w:themeColor="accent1" w:themeShade="0000BF"/>
      <w:spacing w:val="5"/>
    </w:rPr>
  </w:style>
  <w:style w:type="paragraph" w:styleId="Subtitle">
    <w:name w:val="Subtitle"/>
    <w:basedOn w:val="Normal"/>
    <w:next w:val="Normal"/>
    <w:pPr/>
    <w:rPr>
      <w:rFonts w:ascii="Calibri" w:cs="Calibri" w:eastAsia="Calibri" w:hAnsi="Calibri"/>
      <w:color w:val="595959"/>
    </w:rPr>
  </w:style>
  <w:style w:type="table" w:styleId="Table1">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cNQ6Q+NorKulP7iQZ0YJxbrWkQg==">CgMxLjA4AHIhMS1lRDNVYVpyQ0dOZUQybTg3Uk5oRFFiaWgxM3N6a1Aw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2026-02-17T12:30:00Z</dcterms:created>
  <dc:creator>Пользователь</dc:creator>
</cp:coreProperties>
</file>