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firstLine="709"/>
        <w:jc w:val="both"/>
        <w:rPr/>
      </w:pPr>
      <w:bookmarkStart w:colFirst="0" w:colLast="0" w:name="_heading=h.n96l6k3ocgl" w:id="0"/>
      <w:bookmarkEnd w:id="0"/>
      <w:r w:rsidDel="00000000" w:rsidR="00000000" w:rsidRPr="00000000">
        <w:rPr>
          <w:rtl w:val="0"/>
        </w:rPr>
        <w:t xml:space="preserve">Queste raccomandazioni si basano sui principi agro fisiologici generali di azione dei componenti dei prodotti Contour e sono adattate al ciclo di sviluppo dell'olivo. Per ottenere standard precisi, ottimizzati per una specifica varietà, regione e tipo di terreno, si raccomandano prove di campo locali.</w:t>
      </w:r>
    </w:p>
    <w:p w:rsidR="00000000" w:rsidDel="00000000" w:rsidP="00000000" w:rsidRDefault="00000000" w:rsidRPr="00000000" w14:paraId="00000002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Gli ulivi, soprattutto nel clima mediterraneo, sono esposti a una serie di stress: caldo estivo e siccità, sbalzi termici primaverili, salinità del suolo e minacce biotiche. I prodotti Contour, applicati per via fogliare, sono progettati per raggiungere due obiettivi chiave: intensificare i processi fisiologici per aumentare la produttività e rafforzare la naturale resilienza dell'albero agli stress abiotici e biotici.</w:t>
      </w:r>
    </w:p>
    <w:p w:rsidR="00000000" w:rsidDel="00000000" w:rsidP="00000000" w:rsidRDefault="00000000" w:rsidRPr="00000000" w14:paraId="00000004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Strategia di trattamento consigliata</w:t>
      </w:r>
    </w:p>
    <w:p w:rsidR="00000000" w:rsidDel="00000000" w:rsidP="00000000" w:rsidRDefault="00000000" w:rsidRPr="00000000" w14:paraId="00000006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I trattamenti devono essere effettuati durante le fasi fenologiche critiche, abbinandoli a misure fitosanitarie programmate.</w:t>
      </w:r>
    </w:p>
    <w:p w:rsidR="00000000" w:rsidDel="00000000" w:rsidP="00000000" w:rsidRDefault="00000000" w:rsidRPr="00000000" w14:paraId="00000007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left"/>
        <w:tblInd w:w="-5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0"/>
        <w:gridCol w:w="5415"/>
        <w:tblGridChange w:id="0">
          <w:tblGrid>
            <w:gridCol w:w="4500"/>
            <w:gridCol w:w="5415"/>
          </w:tblGrid>
        </w:tblGridChange>
      </w:tblGrid>
      <w:tr>
        <w:trPr>
          <w:cantSplit w:val="0"/>
          <w:tblHeader w:val="1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Fase fenologica dell'olivo (BBCH)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Prodotto consigliato e uso previsto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Inizio della vegetazione (BBCH 51-55): </w:t>
            </w:r>
            <w:r w:rsidDel="00000000" w:rsidR="00000000" w:rsidRPr="00000000">
              <w:rPr>
                <w:rtl w:val="0"/>
              </w:rPr>
              <w:t xml:space="preserve">risveglio delle gemme, crescita dei germogli.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CONTOUR GROWTH  (1,0-1,2 l/ha). Scopo: Stimola un avvio uniforme della vegetazione, formando un apparato fogliare forte e organi generativi.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Prima della fioritura (BBCH 55-59): </w:t>
            </w:r>
            <w:r w:rsidDel="00000000" w:rsidR="00000000" w:rsidRPr="00000000">
              <w:rPr>
                <w:rtl w:val="0"/>
              </w:rPr>
              <w:t xml:space="preserve">Formazione delle infiorescenze.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CONTOUR GROWTH  (1,0–1,5 l / ha ) o combinazione con CONTOUR ANTISTRESS (0,8+0,8 l / ha ). Obiettivo: migliorare l’allegagione e la qualità dei fiori, aumentare la resistenza ad eventuali ondate di freddo.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Post-fioritura/allegagione (BBCH 71-73): </w:t>
            </w:r>
            <w:r w:rsidDel="00000000" w:rsidR="00000000" w:rsidRPr="00000000">
              <w:rPr>
                <w:rtl w:val="0"/>
              </w:rPr>
              <w:t xml:space="preserve">periodo critico per la formazione della coltura.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CONTOUR GROWTH  (1,2–1,5 l/ha). Obiettivo: ridurre al minimo la caduta degli ovari e favorire la crescita iniziale dei frutti.</w:t>
            </w:r>
          </w:p>
        </w:tc>
      </w:tr>
      <w:tr>
        <w:trPr>
          <w:cantSplit w:val="0"/>
          <w:trHeight w:val="1874.8476562500014" w:hRule="atLeast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Fase di riempimento del frutto (BBCH 75-79): </w:t>
            </w:r>
            <w:r w:rsidDel="00000000" w:rsidR="00000000" w:rsidRPr="00000000">
              <w:rPr>
                <w:rtl w:val="0"/>
              </w:rPr>
              <w:t xml:space="preserve">Accumulo di olio.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CONTOUR GROWTH  (1,5 l/ha). Obiettivo: stimola la sintesi e l'accumulo di olio, aumenta la pezzatura dei frutti e garantisce una maturazione uniforme.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Periodo di condizioni di stress </w:t>
            </w:r>
            <w:r w:rsidDel="00000000" w:rsidR="00000000" w:rsidRPr="00000000">
              <w:rPr>
                <w:rtl w:val="0"/>
              </w:rPr>
              <w:t xml:space="preserve">(calore &gt;35°C, siccità, dopo trattamenti antiparassitari).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CONTOUR ANTISTRESS (1,5–2,0 l/ha). Scopo: attivazione della risposta immunitaria, mantenimento del turgore e della fotosintesi, detossicazione e </w:t>
            </w:r>
            <w:r w:rsidDel="00000000" w:rsidR="00000000" w:rsidRPr="00000000">
              <w:rPr>
                <w:rtl w:val="0"/>
              </w:rPr>
              <w:t xml:space="preserve">prevenzione dell'abscissione</w:t>
            </w:r>
            <w:r w:rsidDel="00000000" w:rsidR="00000000" w:rsidRPr="00000000">
              <w:rPr>
                <w:rtl w:val="0"/>
              </w:rPr>
              <w:t xml:space="preserve"> degli ovari e dei frutti.</w:t>
            </w:r>
          </w:p>
        </w:tc>
      </w:tr>
    </w:tbl>
    <w:p w:rsidR="00000000" w:rsidDel="00000000" w:rsidP="00000000" w:rsidRDefault="00000000" w:rsidRPr="00000000" w14:paraId="00000014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Principali effetti attesi</w:t>
      </w:r>
    </w:p>
    <w:p w:rsidR="00000000" w:rsidDel="00000000" w:rsidP="00000000" w:rsidRDefault="00000000" w:rsidRPr="00000000" w14:paraId="00000016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CONTOUR GROWTH: </w:t>
      </w:r>
      <w:r w:rsidDel="00000000" w:rsidR="00000000" w:rsidRPr="00000000">
        <w:rPr>
          <w:rtl w:val="0"/>
        </w:rPr>
        <w:t xml:space="preserve">Aumenta il vigore, migliora l'allegagione e aumenta il peso medio dei frutti. Favorisce un riempimento e una maturazione uniformi, fondamentali per la qualità dell'olio d'oliva.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CONTOUR ANTISTRESS: </w:t>
      </w:r>
      <w:r w:rsidDel="00000000" w:rsidR="00000000" w:rsidRPr="00000000">
        <w:rPr>
          <w:rtl w:val="0"/>
        </w:rPr>
        <w:t xml:space="preserve">Stabilizza lo stato fisiologico dell'albero durante i periodi di siccità e caldo. Riduce gli effetti negativi dei trattamenti fitosanitari. Aumenta la redditività complessiva del frutteto durante le stagioni avverse.</w:t>
      </w:r>
    </w:p>
    <w:p w:rsidR="00000000" w:rsidDel="00000000" w:rsidP="00000000" w:rsidRDefault="00000000" w:rsidRPr="00000000" w14:paraId="00000019">
      <w:pPr>
        <w:spacing w:after="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Note importanti</w:t>
      </w:r>
    </w:p>
    <w:p w:rsidR="00000000" w:rsidDel="00000000" w:rsidP="00000000" w:rsidRDefault="00000000" w:rsidRPr="00000000" w14:paraId="0000001B">
      <w:pPr>
        <w:spacing w:after="0" w:lineRule="auto"/>
        <w:ind w:firstLine="70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 prodotti sono un'integrazione al sistema nutrizionale e protettivo minerale di base, non una sua sostituzione.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Entrambi i prodotti sono compatibili, in miscela con la maggior parte dei pesticidi e dei fertilizzanti micronutrienti. Si raccomanda un test preliminare di compatibilità fisica.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Le applicazioni devono essere effettuate al mattino o alla sera per garantire un assorbimento ottimale e ridurre al minimo il rischio di evaporazione.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 i giardini intensivi con un elevato carico di raccolto, si consigliano almeno 2-3 trattamenti a stagione, con particolare attenzione alle fasi di pre e post fioritura, nonché durante il periodo di riempimento.</w:t>
      </w:r>
    </w:p>
    <w:p w:rsidR="00000000" w:rsidDel="00000000" w:rsidP="00000000" w:rsidRDefault="00000000" w:rsidRPr="00000000" w14:paraId="00000020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8.6614173228347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it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B75983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B75983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B75983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75983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B75983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B75983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B75983"/>
    <w:rPr>
      <w:rFonts w:cstheme="majorBidi" w:eastAsiaTheme="majorEastAsia"/>
      <w:i w:val="1"/>
      <w:iCs w:val="1"/>
      <w:color w:val="2e74b5" w:themeColor="accent1" w:themeShade="0000BF"/>
      <w:sz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B75983"/>
    <w:rPr>
      <w:rFonts w:cstheme="majorBidi" w:eastAsiaTheme="majorEastAsia"/>
      <w:color w:val="2e74b5" w:themeColor="accent1" w:themeShade="0000BF"/>
      <w:sz w:val="28"/>
    </w:rPr>
  </w:style>
  <w:style w:type="character" w:styleId="60" w:customStyle="1">
    <w:name w:val="Заголовок 6 Знак"/>
    <w:basedOn w:val="a0"/>
    <w:link w:val="6"/>
    <w:uiPriority w:val="9"/>
    <w:semiHidden w:val="1"/>
    <w:rsid w:val="00B75983"/>
    <w:rPr>
      <w:rFonts w:cstheme="majorBidi" w:eastAsiaTheme="majorEastAsia"/>
      <w:i w:val="1"/>
      <w:iCs w:val="1"/>
      <w:color w:val="595959" w:themeColor="text1" w:themeTint="0000A6"/>
      <w:sz w:val="28"/>
    </w:rPr>
  </w:style>
  <w:style w:type="character" w:styleId="70" w:customStyle="1">
    <w:name w:val="Заголовок 7 Знак"/>
    <w:basedOn w:val="a0"/>
    <w:link w:val="7"/>
    <w:uiPriority w:val="9"/>
    <w:semiHidden w:val="1"/>
    <w:rsid w:val="00B75983"/>
    <w:rPr>
      <w:rFonts w:cstheme="majorBidi" w:eastAsiaTheme="majorEastAsia"/>
      <w:color w:val="595959" w:themeColor="text1" w:themeTint="0000A6"/>
      <w:sz w:val="28"/>
    </w:rPr>
  </w:style>
  <w:style w:type="character" w:styleId="80" w:customStyle="1">
    <w:name w:val="Заголовок 8 Знак"/>
    <w:basedOn w:val="a0"/>
    <w:link w:val="8"/>
    <w:uiPriority w:val="9"/>
    <w:semiHidden w:val="1"/>
    <w:rsid w:val="00B75983"/>
    <w:rPr>
      <w:rFonts w:cstheme="majorBidi" w:eastAsiaTheme="majorEastAsia"/>
      <w:i w:val="1"/>
      <w:iCs w:val="1"/>
      <w:color w:val="272727" w:themeColor="text1" w:themeTint="0000D8"/>
      <w:sz w:val="2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B75983"/>
    <w:rPr>
      <w:rFonts w:cstheme="majorBidi" w:eastAsiaTheme="majorEastAsia"/>
      <w:color w:val="272727" w:themeColor="text1" w:themeTint="0000D8"/>
      <w:sz w:val="28"/>
    </w:rPr>
  </w:style>
  <w:style w:type="character" w:styleId="a4" w:customStyle="1">
    <w:name w:val="Заголовок Знак"/>
    <w:basedOn w:val="a0"/>
    <w:link w:val="a3"/>
    <w:uiPriority w:val="10"/>
    <w:rsid w:val="00B7598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B7598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B7598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B75983"/>
    <w:rPr>
      <w:rFonts w:ascii="Times New Roman" w:hAnsi="Times New Roman"/>
      <w:i w:val="1"/>
      <w:iCs w:val="1"/>
      <w:color w:val="404040" w:themeColor="text1" w:themeTint="0000BF"/>
      <w:sz w:val="28"/>
    </w:rPr>
  </w:style>
  <w:style w:type="paragraph" w:styleId="a7">
    <w:name w:val="List Paragraph"/>
    <w:basedOn w:val="a"/>
    <w:uiPriority w:val="34"/>
    <w:qFormat w:val="1"/>
    <w:rsid w:val="00B75983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B75983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B75983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B75983"/>
    <w:rPr>
      <w:rFonts w:ascii="Times New Roman" w:hAnsi="Times New Roman"/>
      <w:i w:val="1"/>
      <w:iCs w:val="1"/>
      <w:color w:val="2e74b5" w:themeColor="accent1" w:themeShade="0000BF"/>
      <w:sz w:val="28"/>
    </w:rPr>
  </w:style>
  <w:style w:type="character" w:styleId="ab">
    <w:name w:val="Intense Reference"/>
    <w:basedOn w:val="a0"/>
    <w:uiPriority w:val="32"/>
    <w:qFormat w:val="1"/>
    <w:rsid w:val="00B75983"/>
    <w:rPr>
      <w:b w:val="1"/>
      <w:bCs w:val="1"/>
      <w:smallCaps w:val="1"/>
      <w:color w:val="2e74b5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95959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0kLu6pri93tdsjAwpv+JlS7VYg==">CgMxLjAyDWgubjk2bDZrM29jZ2w4AHIhMUF2bk9lWk11cjFqQ2c1ekNBSFdseXJQZG1FMG01RHJB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2026-02-18T06:32:00Z</dcterms:created>
  <dc:creator>Пользователь</dc:creator>
</cp:coreProperties>
</file>