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Analisi degli effetti dell’uso dei prodotti di linea “Contour” sull’uva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Obiettivo: </w:t>
      </w:r>
      <w:r w:rsidDel="00000000" w:rsidR="00000000" w:rsidRPr="00000000">
        <w:rPr>
          <w:sz w:val="24"/>
          <w:szCs w:val="24"/>
          <w:rtl w:val="0"/>
        </w:rPr>
        <w:t xml:space="preserve">massimizzare la resa e la sostenibilità del vigneto attraverso una nutrizione fogliare innovativa.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Breve descrizione dei prodotti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"Contour Growth" </w:t>
      </w:r>
      <w:r w:rsidDel="00000000" w:rsidR="00000000" w:rsidRPr="00000000">
        <w:rPr>
          <w:sz w:val="24"/>
          <w:szCs w:val="24"/>
          <w:rtl w:val="0"/>
        </w:rPr>
        <w:t xml:space="preserve">è un potente stimolatore di crescita e sviluppo a base di un complesso di L-amminoacidi (66 g/l) e acido succinico. Ottimizza la crescita vegetativa e migliora l'allegagione e il riempimento degli acini.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"Contour Antistress" </w:t>
      </w:r>
      <w:r w:rsidDel="00000000" w:rsidR="00000000" w:rsidRPr="00000000">
        <w:rPr>
          <w:sz w:val="24"/>
          <w:szCs w:val="24"/>
          <w:rtl w:val="0"/>
        </w:rPr>
        <w:t xml:space="preserve">è un agente antistress e immunomodulatore specializzato. Contiene un complesso unico di L-amminoacidi (45 g/l), acido arachidonico e acidi triterpenici . Aumenta la resistenza della vite allo stress climatico (caldo, freddo, siccità) e biologico (malattie).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Entrambi contengono un complesso bilanciato di microelementi in forma chelata (Fe, Zn, Mg, Cu, Mn, Mo) e un potente complesso umico- fulvico per migliorare l'assorbimento e il tono generale della pianta.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Fasi di applicazione consigliate per l'uva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Entrambi i prodotti vengono applicati per via fogliare da 1 a 5 volte a stagione, a intervalli di 7-14 giorni. La dose di applicazione della soluzione di lavoro è di 800-1000 l/ha. La dose di applicazione raccomandata per l'uva è di 0,6-1,2 l/ha.</w:t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Strategia applicativa (combina i dati del rapporto e i principi agronomici generali )</w:t>
      </w:r>
    </w:p>
    <w:tbl>
      <w:tblPr>
        <w:tblStyle w:val="Table1"/>
        <w:tblW w:w="935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28"/>
        <w:gridCol w:w="3361"/>
        <w:gridCol w:w="3667"/>
        <w:tblGridChange w:id="0">
          <w:tblGrid>
            <w:gridCol w:w="2328"/>
            <w:gridCol w:w="3361"/>
            <w:gridCol w:w="3667"/>
          </w:tblGrid>
        </w:tblGridChange>
      </w:tblGrid>
      <w:tr>
        <w:trPr>
          <w:cantSplit w:val="0"/>
          <w:tblHeader w:val="1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Fenofase dell'uva (scala BBCH)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Contour Growth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Contour Antistress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13-15 (3-5 foglie) 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Inizio della crescita attiva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L'obiettivo principale: creare un apparato fogliare potente e stimolare la crescita dei germogli.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L'obiettivo principale: aumentare la resistenza dei tessuti giovani a possibili gelate ricorrenti e altri stress.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60-61 (Inizio della fioritura) 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Fase critica per la raccolta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Trattamento chiave: migliora l'allegagione delle bacche, riduce la caduta di fiori e ovaie.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Consigliato per chi è a rischio stress (caldo, pioggia). Protegge gli organi riproduttivi e supporta il metabolismo energetico.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69 (Fine fioritura) 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Formazione dell'ovario /  Fase di allegagione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Favorire la crescita iniziale delle bacche, determinando il potenziale di dimensione del grappolo.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Rafforza l'effetto di resistenza, aiutando la pianta a riprendersi dopo la fase di fioritura che richiede molta energia.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75+ (bacche delle dimensioni di un pisello, maturazione)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Trattamento chiave. Stimola la divisione e l'espansione delle cellule delle bacche, migliorando l'uniformità del riempimento dei frutti e la qualità della resa.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Applicare secondo necessità in risposta allo stress (calore, siccità o trattamenti fitosanitari). Aiuta le viti a superare lo stress senza compromettere la qualità o il peso degli acini.</w:t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Meccanismo d'azione a livello cellulare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L'azione dei prodotti si basa sulla sinergia dei loro componenti.</w:t>
      </w:r>
    </w:p>
    <w:tbl>
      <w:tblPr>
        <w:tblStyle w:val="Table2"/>
        <w:tblW w:w="921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3407"/>
        <w:gridCol w:w="3544"/>
        <w:tblGridChange w:id="0">
          <w:tblGrid>
            <w:gridCol w:w="2263"/>
            <w:gridCol w:w="3407"/>
            <w:gridCol w:w="3544"/>
          </w:tblGrid>
        </w:tblGridChange>
      </w:tblGrid>
      <w:tr>
        <w:trPr>
          <w:cantSplit w:val="0"/>
          <w:tblHeader w:val="1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Componente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Contour Growth (focalizzata su crescita e resa)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Contour Antistress (attenzione alla sostenibilità e alla protezione)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L-amminoacidi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Una fonte di "energia pronta all'uso". La pianta li assimila senza spendere energia per la sintesi. L'acido glutammico aiuta a regolare gli stomi in condizioni di siccità. Prolina e glicina aumentano l'efficienza della fotosintesi.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Supporto contro lo stress. Gli amminoacidi come la prolina aiutano a mantenere il turgore cellulare e agiscono come antigelo durante lo stress da freddo. Migliorano anche la disintossicazione dopo i trattamenti antiparassitari.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Acido chiave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L'acido succinico è un potente biostimolante naturale. Attiva la respirazione e il metabolismo cellulare, aumentando significativamente la permeabilità della membrana cellulare e migliorando l'assorbimento dei nutrienti.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L'acido arachidonico è un attivatore del sistema immunitario sistemico (SAR). Imita il segnale di attacco di un agente patogeno, stimolando la pianta a produrre le proprie sostanze protettive (fitoalessine).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Acidi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Acidi triterpenici (dall'abete siberiano) sono potenti adattogeni antistress. Partecipano alla sintesi di proteine antistress e antiossidanti.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Acidi umici/fulvici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Microelementi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Miglioratori dell'efficacia. Aumentano la permeabilità della membrana cellulare, migliorano l'assorbimento degli oligoelementi (Fe, Zn, Mg, Cu, Mn, Mo in forma chelata) e stimolano l'attività degli ormoni della crescita naturali.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Disintossicanti e immunomodulatori. Oltre a migliorare la nutrizione, favoriscono il recupero cellulare dopo lo stress e neutralizzano la fitotossicità dei pesticidi.</w:t>
            </w:r>
          </w:p>
        </w:tc>
      </w:tr>
    </w:tbl>
    <w:p w:rsidR="00000000" w:rsidDel="00000000" w:rsidP="00000000" w:rsidRDefault="00000000" w:rsidRPr="00000000" w14:paraId="00000033">
      <w:pPr>
        <w:spacing w:after="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Effetto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previsto dall'applicazione</w:t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Gli effetti sono stati confermati da test ufficiali sul campo (rapporto)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Contour Growth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Obiettivo: massima resa e qualità.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Risultato comprovato: nelle prove del 2024, il trattamento ha prodotto una resa di 23,27 t/ha rispetto alle 13,27 t/ha dello standard (un aumento del +75%).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Cambiamenti qualitativi: tendenza all'aumento del peso medio del grappolo, miglioramento dell'uniformità del riempimento degli acini, mantenimento di un elevato grado zuccherino ( scala Brix ).</w:t>
      </w:r>
    </w:p>
    <w:p w:rsidR="00000000" w:rsidDel="00000000" w:rsidP="00000000" w:rsidRDefault="00000000" w:rsidRPr="00000000" w14:paraId="0000003B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Contour Antistress: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Obiettivo: stabilizzare le rese delle colture e proteggere le piante in condizioni sfavorevoli.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Risultato comprovato: nelle stesse condizioni di stress (forti piogge, pressione delle malattie), la resa è stata di 18,40 t/ha, ovvero significativamente superiore allo standard.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Cambiamenti qualitativi: aumento della vitalità delle viti in condizioni di stress, salvaguardia della qualità del raccolto, riduzione delle conseguenze negative dei trattamenti con prodotti fitosanitari.</w:t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Possibilità di applicazione congiunta</w:t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90"/>
        <w:gridCol w:w="6254"/>
        <w:tblGridChange w:id="0">
          <w:tblGrid>
            <w:gridCol w:w="3090"/>
            <w:gridCol w:w="6254"/>
          </w:tblGrid>
        </w:tblGridChange>
      </w:tblGrid>
      <w:tr>
        <w:trPr>
          <w:cantSplit w:val="0"/>
          <w:tblHeader w:val="1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Fenofase dell'uva (scala BBCH)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Uso combinato/alternativo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13-15 (3-5 foglie) 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Inizio della crescita attiva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Applicazione iniziale.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Entrambi i prodotti possono essere utilizzati per un effetto complesso (vigore di crescita + resistenza) a 0,8 + 0,8 l/ha.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60-61 (Inizio della fioritura) 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Fase critica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La fase più importante.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Utilizzare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"Contour Growth"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per le rese delle colture 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"Contour Antistress"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quando si prevedono condizioni sfavorevoli.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69 (Fine fioritura) </w:t>
            </w:r>
            <w:r w:rsidDel="00000000" w:rsidR="00000000" w:rsidRPr="00000000">
              <w:rPr>
                <w:sz w:val="24"/>
                <w:szCs w:val="24"/>
                <w:rtl w:val="0"/>
              </w:rPr>
              <w:br w:type="textWrapping"/>
              <w:t xml:space="preserve">Formazione dell'ovario /  Fase di allegagione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Consolidamento del risultato.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75 (Bacche grandi quanto un pisello, che cominciano a riempirsi)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"Contour Growth"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– per il massimo riempimento.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"Contour Antistress"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– per situazioni stressanti.</w:t>
            </w:r>
          </w:p>
        </w:tc>
      </w:tr>
    </w:tbl>
    <w:p w:rsidR="00000000" w:rsidDel="00000000" w:rsidP="00000000" w:rsidRDefault="00000000" w:rsidRPr="00000000" w14:paraId="0000004D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Nessuna fitotossicità: </w:t>
      </w:r>
      <w:r w:rsidDel="00000000" w:rsidR="00000000" w:rsidRPr="00000000">
        <w:rPr>
          <w:sz w:val="24"/>
          <w:szCs w:val="24"/>
          <w:rtl w:val="0"/>
        </w:rPr>
        <w:t xml:space="preserve">i trattamenti sono sicuri per foglie e grappoli.</w:t>
      </w:r>
    </w:p>
    <w:p w:rsidR="00000000" w:rsidDel="00000000" w:rsidP="00000000" w:rsidRDefault="00000000" w:rsidRPr="00000000" w14:paraId="0000004F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Compatibilità: </w:t>
      </w:r>
      <w:r w:rsidDel="00000000" w:rsidR="00000000" w:rsidRPr="00000000">
        <w:rPr>
          <w:sz w:val="24"/>
          <w:szCs w:val="24"/>
          <w:rtl w:val="0"/>
        </w:rPr>
        <w:t xml:space="preserve">può essere utilizzato in miscele in cisterna con prodotti fitosanitari (durante le prove sono stati effettuati trattamenti protettivi contro la peronospora).</w:t>
      </w:r>
    </w:p>
    <w:p w:rsidR="00000000" w:rsidDel="00000000" w:rsidP="00000000" w:rsidRDefault="00000000" w:rsidRPr="00000000" w14:paraId="00000051">
      <w:pPr>
        <w:spacing w:after="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Raccomandazioni di marketing finali</w:t>
      </w:r>
    </w:p>
    <w:p w:rsidR="00000000" w:rsidDel="00000000" w:rsidP="00000000" w:rsidRDefault="00000000" w:rsidRPr="00000000" w14:paraId="00000053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Per l'agronomo e il viticoltore: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Scegli Contour Growth se punti alla massima resa e alla massima dimensione dei grappoli. Questo è il prodotto strategico per le fasi chiave (fioritura, maturazione).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Scegli Contour Antistress se il tuo vigneto è soggetto a stress meteorologico o se sono previste condizioni sfavorevoli durante la stagione. Questa è la tua "assicurazione" per il raccolto.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Strategia ideale: uso combinato durante tutta la stagione. Iniziare con Contour Antistress per il rafforzamento, passare a Contour Growth durante le fasi critiche di raccolto e applicare Contour Antistress quando si verifica stress.</w:t>
      </w:r>
    </w:p>
    <w:p w:rsidR="00000000" w:rsidDel="00000000" w:rsidP="00000000" w:rsidRDefault="00000000" w:rsidRPr="00000000" w14:paraId="00000058">
      <w:pPr>
        <w:spacing w:after="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Messaggio generale</w:t>
      </w:r>
    </w:p>
    <w:p w:rsidR="00000000" w:rsidDel="00000000" w:rsidP="00000000" w:rsidRDefault="00000000" w:rsidRPr="00000000" w14:paraId="0000005A">
      <w:pPr>
        <w:spacing w:after="0" w:lineRule="auto"/>
        <w:jc w:val="both"/>
        <w:rPr>
          <w:sz w:val="24"/>
          <w:szCs w:val="24"/>
        </w:rPr>
      </w:pPr>
      <w:bookmarkStart w:colFirst="0" w:colLast="0" w:name="_heading=h.isip1lzbv9wt" w:id="0"/>
      <w:bookmarkEnd w:id="0"/>
      <w:r w:rsidDel="00000000" w:rsidR="00000000" w:rsidRPr="00000000">
        <w:rPr>
          <w:sz w:val="24"/>
          <w:szCs w:val="24"/>
          <w:rtl w:val="0"/>
        </w:rPr>
        <w:t xml:space="preserve">Contour Growth è un investimento in resa. Contour Antistress è un investimento in sostenibilità. Insieme, offrono risultati garantiti in ogni stagione, confermati da test ufficiali europei con incrementi di resa fino al 75%.</w:t>
      </w:r>
    </w:p>
    <w:sectPr>
      <w:pgSz w:h="16838" w:w="11906" w:orient="portrait"/>
      <w:pgMar w:bottom="681.3779527559075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it"/>
      </w:rPr>
    </w:rPrDefault>
    <w:pPrDefault>
      <w:pPr>
        <w:spacing w:after="1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7E2425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7E2425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7E2425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7E2425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7E2425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7E2425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7E2425"/>
    <w:rPr>
      <w:rFonts w:cstheme="majorBidi" w:eastAsiaTheme="majorEastAsia"/>
      <w:i w:val="1"/>
      <w:iCs w:val="1"/>
      <w:color w:val="2e74b5" w:themeColor="accent1" w:themeShade="0000BF"/>
      <w:sz w:val="28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E2425"/>
    <w:rPr>
      <w:rFonts w:cstheme="majorBidi" w:eastAsiaTheme="majorEastAsia"/>
      <w:color w:val="2e74b5" w:themeColor="accent1" w:themeShade="0000BF"/>
      <w:sz w:val="28"/>
    </w:rPr>
  </w:style>
  <w:style w:type="character" w:styleId="60" w:customStyle="1">
    <w:name w:val="Заголовок 6 Знак"/>
    <w:basedOn w:val="a0"/>
    <w:link w:val="6"/>
    <w:uiPriority w:val="9"/>
    <w:semiHidden w:val="1"/>
    <w:rsid w:val="007E2425"/>
    <w:rPr>
      <w:rFonts w:cstheme="majorBidi" w:eastAsiaTheme="majorEastAsia"/>
      <w:i w:val="1"/>
      <w:iCs w:val="1"/>
      <w:color w:val="595959" w:themeColor="text1" w:themeTint="0000A6"/>
      <w:sz w:val="28"/>
    </w:rPr>
  </w:style>
  <w:style w:type="character" w:styleId="70" w:customStyle="1">
    <w:name w:val="Заголовок 7 Знак"/>
    <w:basedOn w:val="a0"/>
    <w:link w:val="7"/>
    <w:uiPriority w:val="9"/>
    <w:semiHidden w:val="1"/>
    <w:rsid w:val="007E2425"/>
    <w:rPr>
      <w:rFonts w:cstheme="majorBidi" w:eastAsiaTheme="majorEastAsia"/>
      <w:color w:val="595959" w:themeColor="text1" w:themeTint="0000A6"/>
      <w:sz w:val="28"/>
    </w:rPr>
  </w:style>
  <w:style w:type="character" w:styleId="80" w:customStyle="1">
    <w:name w:val="Заголовок 8 Знак"/>
    <w:basedOn w:val="a0"/>
    <w:link w:val="8"/>
    <w:uiPriority w:val="9"/>
    <w:semiHidden w:val="1"/>
    <w:rsid w:val="007E2425"/>
    <w:rPr>
      <w:rFonts w:cstheme="majorBidi" w:eastAsiaTheme="majorEastAsia"/>
      <w:i w:val="1"/>
      <w:iCs w:val="1"/>
      <w:color w:val="272727" w:themeColor="text1" w:themeTint="0000D8"/>
      <w:sz w:val="2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7E2425"/>
    <w:rPr>
      <w:rFonts w:cstheme="majorBidi" w:eastAsiaTheme="majorEastAsia"/>
      <w:color w:val="272727" w:themeColor="text1" w:themeTint="0000D8"/>
      <w:sz w:val="28"/>
    </w:rPr>
  </w:style>
  <w:style w:type="character" w:styleId="a4" w:customStyle="1">
    <w:name w:val="Заголовок Знак"/>
    <w:basedOn w:val="a0"/>
    <w:link w:val="a3"/>
    <w:uiPriority w:val="10"/>
    <w:rsid w:val="007E2425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7E2425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7E242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7E2425"/>
    <w:rPr>
      <w:rFonts w:ascii="Times New Roman" w:hAnsi="Times New Roman"/>
      <w:i w:val="1"/>
      <w:iCs w:val="1"/>
      <w:color w:val="404040" w:themeColor="text1" w:themeTint="0000BF"/>
      <w:sz w:val="28"/>
    </w:rPr>
  </w:style>
  <w:style w:type="paragraph" w:styleId="a7">
    <w:name w:val="List Paragraph"/>
    <w:basedOn w:val="a"/>
    <w:uiPriority w:val="34"/>
    <w:qFormat w:val="1"/>
    <w:rsid w:val="007E2425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7E2425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7E2425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7E2425"/>
    <w:rPr>
      <w:rFonts w:ascii="Times New Roman" w:hAnsi="Times New Roman"/>
      <w:i w:val="1"/>
      <w:iCs w:val="1"/>
      <w:color w:val="2e74b5" w:themeColor="accent1" w:themeShade="0000BF"/>
      <w:sz w:val="28"/>
    </w:rPr>
  </w:style>
  <w:style w:type="character" w:styleId="ab">
    <w:name w:val="Intense Reference"/>
    <w:basedOn w:val="a0"/>
    <w:uiPriority w:val="32"/>
    <w:qFormat w:val="1"/>
    <w:rsid w:val="007E2425"/>
    <w:rPr>
      <w:b w:val="1"/>
      <w:bCs w:val="1"/>
      <w:smallCaps w:val="1"/>
      <w:color w:val="2e74b5" w:themeColor="accent1" w:themeShade="0000BF"/>
      <w:spacing w:val="5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95959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xT269c3lkMkGM1GRV7cay1EfCA==">CgMxLjAyDmguaXNpcDFsemJ2OXd0OAByITE3b1F1Yy11allyUUI1Z2VrQXlpZ1c3QVhYbTVFZm9fcw==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2025-12-23T16:03:00Z</dcterms:created>
  <dc:creator>Пользователь</dc:creator>
</cp:coreProperties>
</file>